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61D" w:rsidRPr="00E75A72" w:rsidRDefault="00A1261D">
      <w:pPr>
        <w:jc w:val="center"/>
        <w:rPr>
          <w:b/>
          <w:sz w:val="32"/>
          <w:szCs w:val="32"/>
        </w:rPr>
      </w:pPr>
      <w:r w:rsidRPr="00E75A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-9pt;width:78.9pt;height:107.8pt;z-index:251657216;mso-wrap-distance-left:9.05pt;mso-wrap-distance-right:9.05pt" stroked="f">
            <v:fill color2="black"/>
            <v:textbox inset="0,0,0,0">
              <w:txbxContent>
                <w:p w:rsidR="00A1261D" w:rsidRDefault="009C2FF3">
                  <w:r>
                    <w:rPr>
                      <w:rFonts w:ascii="Arial" w:hAnsi="Arial" w:cs="Arial"/>
                      <w:noProof/>
                      <w:color w:val="110EA7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1000125" cy="1247775"/>
                        <wp:effectExtent l="19050" t="0" r="952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24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75A72">
        <w:pict>
          <v:shape id="_x0000_s1027" type="#_x0000_t202" style="position:absolute;left:0;text-align:left;margin-left:441pt;margin-top:-18pt;width:79.3pt;height:111.9pt;z-index:251658240;mso-wrap-distance-left:9.05pt;mso-wrap-distance-right:9.05pt" stroked="f">
            <v:fill color2="black"/>
            <v:textbox inset="0,0,0,0">
              <w:txbxContent>
                <w:p w:rsidR="00A1261D" w:rsidRDefault="009C2FF3">
                  <w:r>
                    <w:rPr>
                      <w:rFonts w:ascii="Arial" w:hAnsi="Arial" w:cs="Arial"/>
                      <w:noProof/>
                      <w:color w:val="110EA7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1009650" cy="1266825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266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75A72">
        <w:rPr>
          <w:b/>
          <w:sz w:val="32"/>
          <w:szCs w:val="32"/>
        </w:rPr>
        <w:t xml:space="preserve">Социально-экономическое положение </w:t>
      </w:r>
    </w:p>
    <w:p w:rsidR="00A1261D" w:rsidRPr="00E75A72" w:rsidRDefault="00A1261D">
      <w:pPr>
        <w:jc w:val="center"/>
        <w:rPr>
          <w:b/>
          <w:sz w:val="32"/>
          <w:szCs w:val="32"/>
        </w:rPr>
      </w:pPr>
      <w:r w:rsidRPr="00E75A72">
        <w:rPr>
          <w:b/>
          <w:sz w:val="32"/>
          <w:szCs w:val="32"/>
        </w:rPr>
        <w:t>Кыштымского городского округа</w:t>
      </w:r>
    </w:p>
    <w:p w:rsidR="00A1261D" w:rsidRPr="00E75A72" w:rsidRDefault="009F7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  <w:r w:rsidR="00CE2620">
        <w:rPr>
          <w:b/>
          <w:sz w:val="32"/>
          <w:szCs w:val="32"/>
        </w:rPr>
        <w:t xml:space="preserve"> </w:t>
      </w:r>
      <w:r w:rsidR="00F86BA5">
        <w:rPr>
          <w:b/>
          <w:sz w:val="32"/>
          <w:szCs w:val="32"/>
        </w:rPr>
        <w:t>1 полугодие</w:t>
      </w:r>
      <w:r w:rsidR="004500A4">
        <w:rPr>
          <w:b/>
          <w:sz w:val="32"/>
          <w:szCs w:val="32"/>
        </w:rPr>
        <w:t xml:space="preserve"> </w:t>
      </w:r>
      <w:r w:rsidR="00A1261D" w:rsidRPr="00E75A72">
        <w:rPr>
          <w:b/>
          <w:sz w:val="32"/>
          <w:szCs w:val="32"/>
        </w:rPr>
        <w:t>201</w:t>
      </w:r>
      <w:r w:rsidR="00255877">
        <w:rPr>
          <w:b/>
          <w:sz w:val="32"/>
          <w:szCs w:val="32"/>
        </w:rPr>
        <w:t>9</w:t>
      </w:r>
      <w:r w:rsidR="0030263D" w:rsidRPr="00E75A72">
        <w:rPr>
          <w:b/>
          <w:sz w:val="32"/>
          <w:szCs w:val="32"/>
        </w:rPr>
        <w:t xml:space="preserve"> </w:t>
      </w:r>
      <w:r w:rsidR="00A1261D" w:rsidRPr="00E75A72">
        <w:rPr>
          <w:b/>
          <w:sz w:val="32"/>
          <w:szCs w:val="32"/>
        </w:rPr>
        <w:t>год</w:t>
      </w:r>
    </w:p>
    <w:p w:rsidR="00A1261D" w:rsidRPr="00E75A72" w:rsidRDefault="00A1261D">
      <w:pPr>
        <w:jc w:val="center"/>
        <w:rPr>
          <w:rFonts w:ascii="HeinrichScript" w:hAnsi="HeinrichScript"/>
          <w:b/>
          <w:sz w:val="44"/>
          <w:szCs w:val="44"/>
        </w:rPr>
      </w:pPr>
    </w:p>
    <w:p w:rsidR="00A1261D" w:rsidRPr="00E75A72" w:rsidRDefault="00A1261D">
      <w:pPr>
        <w:ind w:firstLine="720"/>
        <w:jc w:val="both"/>
        <w:rPr>
          <w:sz w:val="28"/>
          <w:szCs w:val="28"/>
        </w:rPr>
      </w:pPr>
    </w:p>
    <w:p w:rsidR="00A1261D" w:rsidRPr="001568F5" w:rsidRDefault="00A1261D">
      <w:pPr>
        <w:jc w:val="center"/>
        <w:rPr>
          <w:b/>
          <w:sz w:val="28"/>
          <w:szCs w:val="28"/>
        </w:rPr>
      </w:pPr>
      <w:r w:rsidRPr="00E75A72">
        <w:rPr>
          <w:b/>
          <w:sz w:val="28"/>
          <w:szCs w:val="28"/>
        </w:rPr>
        <w:t xml:space="preserve">1. Отгружено товаров </w:t>
      </w:r>
      <w:r w:rsidRPr="001568F5">
        <w:rPr>
          <w:b/>
          <w:sz w:val="28"/>
          <w:szCs w:val="28"/>
        </w:rPr>
        <w:t>собственного производства, выполнено работ, (услуг) собственными силами по «чистым видам деятельности»</w:t>
      </w:r>
    </w:p>
    <w:p w:rsidR="00A1261D" w:rsidRPr="001568F5" w:rsidRDefault="0030263D" w:rsidP="0056069F">
      <w:pPr>
        <w:ind w:firstLine="720"/>
        <w:jc w:val="both"/>
        <w:rPr>
          <w:sz w:val="28"/>
          <w:szCs w:val="28"/>
        </w:rPr>
      </w:pPr>
      <w:r w:rsidRPr="001568F5">
        <w:rPr>
          <w:sz w:val="28"/>
          <w:szCs w:val="28"/>
        </w:rPr>
        <w:t xml:space="preserve">За </w:t>
      </w:r>
      <w:r w:rsidR="009A4380">
        <w:rPr>
          <w:sz w:val="28"/>
          <w:szCs w:val="28"/>
        </w:rPr>
        <w:t xml:space="preserve">1 </w:t>
      </w:r>
      <w:r w:rsidR="000574CF">
        <w:rPr>
          <w:sz w:val="28"/>
          <w:szCs w:val="28"/>
        </w:rPr>
        <w:t xml:space="preserve">полугодие </w:t>
      </w:r>
      <w:r w:rsidR="009A4380">
        <w:rPr>
          <w:sz w:val="28"/>
          <w:szCs w:val="28"/>
        </w:rPr>
        <w:t xml:space="preserve"> </w:t>
      </w:r>
      <w:r w:rsidR="00FB75AE">
        <w:rPr>
          <w:sz w:val="28"/>
          <w:szCs w:val="28"/>
        </w:rPr>
        <w:t>2</w:t>
      </w:r>
      <w:r w:rsidR="00477C1C">
        <w:rPr>
          <w:sz w:val="28"/>
          <w:szCs w:val="28"/>
        </w:rPr>
        <w:t>019</w:t>
      </w:r>
      <w:r w:rsidR="00A1261D" w:rsidRPr="001568F5">
        <w:rPr>
          <w:sz w:val="28"/>
          <w:szCs w:val="28"/>
        </w:rPr>
        <w:t xml:space="preserve"> год</w:t>
      </w:r>
      <w:r w:rsidR="00197BDE">
        <w:rPr>
          <w:sz w:val="28"/>
          <w:szCs w:val="28"/>
        </w:rPr>
        <w:t>а</w:t>
      </w:r>
      <w:r w:rsidR="00A1261D" w:rsidRPr="001568F5">
        <w:rPr>
          <w:sz w:val="28"/>
          <w:szCs w:val="28"/>
        </w:rPr>
        <w:t xml:space="preserve"> отгружено товаров собственного производства, выполнено работ, услуг собственными силами по «чистым вид</w:t>
      </w:r>
      <w:r w:rsidR="00343CCA" w:rsidRPr="001568F5">
        <w:rPr>
          <w:sz w:val="28"/>
          <w:szCs w:val="28"/>
        </w:rPr>
        <w:t xml:space="preserve">ам деятельности» на сумму </w:t>
      </w:r>
      <w:r w:rsidR="00477C1C">
        <w:rPr>
          <w:sz w:val="28"/>
          <w:szCs w:val="28"/>
        </w:rPr>
        <w:t>10780,2</w:t>
      </w:r>
      <w:r w:rsidR="00A1261D" w:rsidRPr="001568F5">
        <w:rPr>
          <w:sz w:val="28"/>
          <w:szCs w:val="28"/>
        </w:rPr>
        <w:t xml:space="preserve"> млн. рублей, что составляет </w:t>
      </w:r>
      <w:r w:rsidR="00477C1C">
        <w:rPr>
          <w:sz w:val="28"/>
          <w:szCs w:val="28"/>
        </w:rPr>
        <w:t>102,8</w:t>
      </w:r>
      <w:r w:rsidR="00A1261D" w:rsidRPr="001568F5">
        <w:rPr>
          <w:sz w:val="28"/>
          <w:szCs w:val="28"/>
        </w:rPr>
        <w:t>% в действующих ц</w:t>
      </w:r>
      <w:r w:rsidR="00477C1C">
        <w:rPr>
          <w:sz w:val="28"/>
          <w:szCs w:val="28"/>
        </w:rPr>
        <w:t>енах к аналогичному периоду 2018</w:t>
      </w:r>
      <w:r w:rsidR="00A1261D" w:rsidRPr="001568F5">
        <w:rPr>
          <w:sz w:val="28"/>
          <w:szCs w:val="28"/>
        </w:rPr>
        <w:t xml:space="preserve"> года. </w:t>
      </w:r>
    </w:p>
    <w:p w:rsidR="005B764E" w:rsidRPr="001568F5" w:rsidRDefault="009C2FF3" w:rsidP="005B764E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57975" cy="22669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3CCA" w:rsidRPr="00AF1AE4" w:rsidRDefault="00343CCA" w:rsidP="00A21743">
      <w:pPr>
        <w:ind w:firstLine="708"/>
        <w:jc w:val="both"/>
        <w:rPr>
          <w:sz w:val="28"/>
        </w:rPr>
      </w:pPr>
      <w:r w:rsidRPr="00847974">
        <w:rPr>
          <w:sz w:val="28"/>
        </w:rPr>
        <w:t>Отгрузка продукции по ви</w:t>
      </w:r>
      <w:r w:rsidR="0056069F">
        <w:rPr>
          <w:sz w:val="28"/>
        </w:rPr>
        <w:t>дам экономической деятельности за</w:t>
      </w:r>
      <w:r w:rsidR="00CE2620">
        <w:rPr>
          <w:sz w:val="28"/>
        </w:rPr>
        <w:t xml:space="preserve"> </w:t>
      </w:r>
      <w:r w:rsidR="00B470AD">
        <w:rPr>
          <w:sz w:val="28"/>
        </w:rPr>
        <w:t xml:space="preserve">1 </w:t>
      </w:r>
      <w:r w:rsidR="000574CF">
        <w:rPr>
          <w:sz w:val="28"/>
        </w:rPr>
        <w:t>полугодие</w:t>
      </w:r>
      <w:r w:rsidR="00477C1C">
        <w:rPr>
          <w:sz w:val="28"/>
        </w:rPr>
        <w:t xml:space="preserve"> 2019</w:t>
      </w:r>
      <w:r w:rsidR="00173DE4">
        <w:rPr>
          <w:sz w:val="28"/>
        </w:rPr>
        <w:t xml:space="preserve"> год</w:t>
      </w:r>
      <w:r w:rsidR="00197BDE">
        <w:rPr>
          <w:sz w:val="28"/>
        </w:rPr>
        <w:t>а</w:t>
      </w:r>
      <w:r w:rsidRPr="00847974">
        <w:rPr>
          <w:sz w:val="28"/>
        </w:rPr>
        <w:t xml:space="preserve"> в сравнении с </w:t>
      </w:r>
      <w:r w:rsidR="00477C1C">
        <w:rPr>
          <w:sz w:val="28"/>
        </w:rPr>
        <w:t>аналогичным периодом 2018</w:t>
      </w:r>
      <w:r w:rsidRPr="00847974">
        <w:rPr>
          <w:sz w:val="28"/>
        </w:rPr>
        <w:t xml:space="preserve"> год</w:t>
      </w:r>
      <w:r w:rsidR="00CE2620">
        <w:rPr>
          <w:sz w:val="28"/>
        </w:rPr>
        <w:t>а</w:t>
      </w:r>
      <w:r w:rsidRPr="00847974">
        <w:rPr>
          <w:sz w:val="28"/>
        </w:rPr>
        <w:t xml:space="preserve"> представлена в таблице 1 и графически.</w:t>
      </w:r>
      <w:r w:rsidR="000232F8">
        <w:rPr>
          <w:sz w:val="28"/>
        </w:rPr>
        <w:tab/>
      </w:r>
      <w:r w:rsidR="000232F8">
        <w:rPr>
          <w:sz w:val="28"/>
        </w:rPr>
        <w:tab/>
      </w:r>
      <w:r w:rsidR="000232F8">
        <w:rPr>
          <w:sz w:val="28"/>
        </w:rPr>
        <w:tab/>
      </w:r>
      <w:r w:rsidR="000232F8">
        <w:rPr>
          <w:sz w:val="28"/>
        </w:rPr>
        <w:tab/>
      </w:r>
      <w:r w:rsidR="000232F8">
        <w:rPr>
          <w:sz w:val="28"/>
        </w:rPr>
        <w:tab/>
      </w:r>
      <w:r w:rsidR="000232F8">
        <w:rPr>
          <w:sz w:val="28"/>
        </w:rPr>
        <w:tab/>
      </w:r>
      <w:r w:rsidR="000232F8">
        <w:rPr>
          <w:sz w:val="28"/>
        </w:rPr>
        <w:tab/>
      </w:r>
      <w:r w:rsidR="000232F8">
        <w:rPr>
          <w:sz w:val="28"/>
        </w:rPr>
        <w:tab/>
      </w:r>
      <w:r w:rsidR="000232F8">
        <w:rPr>
          <w:sz w:val="28"/>
        </w:rPr>
        <w:tab/>
        <w:t xml:space="preserve">             т</w:t>
      </w:r>
      <w:r w:rsidRPr="00AF1AE4">
        <w:rPr>
          <w:sz w:val="28"/>
        </w:rPr>
        <w:t xml:space="preserve">аблица 1 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701"/>
        <w:gridCol w:w="1794"/>
        <w:gridCol w:w="1843"/>
      </w:tblGrid>
      <w:tr w:rsidR="00343CCA" w:rsidRPr="00AF1AE4" w:rsidTr="00CE2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vMerge w:val="restart"/>
          </w:tcPr>
          <w:p w:rsidR="00343CCA" w:rsidRPr="00AF1AE4" w:rsidRDefault="00343CCA" w:rsidP="00343CCA">
            <w:pPr>
              <w:jc w:val="center"/>
              <w:rPr>
                <w:sz w:val="28"/>
              </w:rPr>
            </w:pPr>
            <w:r w:rsidRPr="00AF1AE4">
              <w:rPr>
                <w:sz w:val="28"/>
              </w:rPr>
              <w:t>Вид экономической деятельности</w:t>
            </w:r>
          </w:p>
        </w:tc>
        <w:tc>
          <w:tcPr>
            <w:tcW w:w="5338" w:type="dxa"/>
            <w:gridSpan w:val="3"/>
          </w:tcPr>
          <w:p w:rsidR="00343CCA" w:rsidRPr="00AF1AE4" w:rsidRDefault="00343CCA" w:rsidP="00343CCA">
            <w:pPr>
              <w:jc w:val="center"/>
              <w:rPr>
                <w:sz w:val="28"/>
              </w:rPr>
            </w:pPr>
            <w:r w:rsidRPr="00AF1AE4">
              <w:rPr>
                <w:sz w:val="28"/>
              </w:rPr>
              <w:t>Отгружено товаров собственного производства, млн. руб.</w:t>
            </w:r>
          </w:p>
        </w:tc>
      </w:tr>
      <w:tr w:rsidR="00C559A5" w:rsidRPr="00AF1AE4" w:rsidTr="00CE2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3" w:type="dxa"/>
            <w:vMerge/>
          </w:tcPr>
          <w:p w:rsidR="00C559A5" w:rsidRPr="00AF1AE4" w:rsidRDefault="00C559A5" w:rsidP="00A1261D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9A4380" w:rsidRDefault="009A4380" w:rsidP="00A12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0574CF">
              <w:rPr>
                <w:sz w:val="28"/>
              </w:rPr>
              <w:t>полугодие</w:t>
            </w:r>
          </w:p>
          <w:p w:rsidR="00C559A5" w:rsidRPr="00AF1AE4" w:rsidRDefault="00477C1C" w:rsidP="00A12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C559A5" w:rsidRPr="00AF1AE4">
              <w:rPr>
                <w:sz w:val="28"/>
              </w:rPr>
              <w:t xml:space="preserve"> год</w:t>
            </w:r>
          </w:p>
        </w:tc>
        <w:tc>
          <w:tcPr>
            <w:tcW w:w="1794" w:type="dxa"/>
          </w:tcPr>
          <w:p w:rsidR="009A4380" w:rsidRDefault="009A4380" w:rsidP="00A12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0574CF">
              <w:rPr>
                <w:sz w:val="28"/>
              </w:rPr>
              <w:t>полугодие</w:t>
            </w:r>
          </w:p>
          <w:p w:rsidR="00C559A5" w:rsidRPr="00AF1AE4" w:rsidRDefault="00477C1C" w:rsidP="00A12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  <w:r w:rsidR="00C559A5" w:rsidRPr="00AF1AE4">
              <w:rPr>
                <w:sz w:val="28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C559A5" w:rsidRPr="00AF1AE4" w:rsidRDefault="00477C1C" w:rsidP="00A12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к 2018</w:t>
            </w:r>
            <w:r w:rsidR="00C559A5" w:rsidRPr="00AF1AE4">
              <w:rPr>
                <w:sz w:val="28"/>
              </w:rPr>
              <w:t xml:space="preserve"> году</w:t>
            </w:r>
          </w:p>
          <w:p w:rsidR="00C559A5" w:rsidRPr="00AF1AE4" w:rsidRDefault="00C559A5" w:rsidP="00A1261D">
            <w:pPr>
              <w:jc w:val="center"/>
              <w:rPr>
                <w:sz w:val="28"/>
              </w:rPr>
            </w:pPr>
          </w:p>
        </w:tc>
      </w:tr>
      <w:tr w:rsidR="00477C1C" w:rsidRPr="00AF1AE4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AF1AE4" w:rsidRDefault="00477C1C" w:rsidP="00A1261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Сельское хозяйство, охота, </w:t>
            </w:r>
            <w:r w:rsidRPr="00AF1AE4">
              <w:rPr>
                <w:sz w:val="28"/>
              </w:rPr>
              <w:t>лесное хозяйство</w:t>
            </w:r>
            <w:r>
              <w:rPr>
                <w:sz w:val="28"/>
              </w:rPr>
              <w:t>, рыболовство и рыбоводство</w:t>
            </w:r>
          </w:p>
        </w:tc>
        <w:tc>
          <w:tcPr>
            <w:tcW w:w="1701" w:type="dxa"/>
          </w:tcPr>
          <w:p w:rsidR="00477C1C" w:rsidRPr="00AF1AE4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24,4</w:t>
            </w:r>
          </w:p>
        </w:tc>
        <w:tc>
          <w:tcPr>
            <w:tcW w:w="1794" w:type="dxa"/>
          </w:tcPr>
          <w:p w:rsidR="00477C1C" w:rsidRPr="00AF1AE4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24,6</w:t>
            </w:r>
          </w:p>
        </w:tc>
        <w:tc>
          <w:tcPr>
            <w:tcW w:w="1843" w:type="dxa"/>
            <w:shd w:val="clear" w:color="auto" w:fill="auto"/>
          </w:tcPr>
          <w:p w:rsidR="00477C1C" w:rsidRPr="00AF1AE4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99,1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AF1AE4" w:rsidRDefault="00477C1C" w:rsidP="00A1261D">
            <w:pPr>
              <w:jc w:val="both"/>
              <w:rPr>
                <w:sz w:val="28"/>
              </w:rPr>
            </w:pPr>
            <w:r w:rsidRPr="00AF1AE4">
              <w:rPr>
                <w:sz w:val="28"/>
              </w:rPr>
              <w:t>Добыча полезных ископаемых</w:t>
            </w:r>
          </w:p>
        </w:tc>
        <w:tc>
          <w:tcPr>
            <w:tcW w:w="1701" w:type="dxa"/>
          </w:tcPr>
          <w:p w:rsidR="00477C1C" w:rsidRPr="00AF1AE4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421,7</w:t>
            </w:r>
          </w:p>
        </w:tc>
        <w:tc>
          <w:tcPr>
            <w:tcW w:w="1794" w:type="dxa"/>
          </w:tcPr>
          <w:p w:rsidR="00477C1C" w:rsidRPr="00AF1AE4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480,3</w:t>
            </w:r>
          </w:p>
        </w:tc>
        <w:tc>
          <w:tcPr>
            <w:tcW w:w="1843" w:type="dxa"/>
            <w:shd w:val="clear" w:color="auto" w:fill="auto"/>
          </w:tcPr>
          <w:p w:rsidR="00477C1C" w:rsidRPr="00AF1AE4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87,8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AF1AE4" w:rsidRDefault="00477C1C" w:rsidP="00A1261D">
            <w:pPr>
              <w:jc w:val="both"/>
              <w:rPr>
                <w:sz w:val="28"/>
              </w:rPr>
            </w:pPr>
            <w:r w:rsidRPr="00AF1AE4">
              <w:rPr>
                <w:sz w:val="28"/>
              </w:rPr>
              <w:t>Обрабатывающие производства</w:t>
            </w:r>
          </w:p>
        </w:tc>
        <w:tc>
          <w:tcPr>
            <w:tcW w:w="1701" w:type="dxa"/>
          </w:tcPr>
          <w:p w:rsidR="00477C1C" w:rsidRPr="00AF1AE4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9823,0</w:t>
            </w:r>
          </w:p>
        </w:tc>
        <w:tc>
          <w:tcPr>
            <w:tcW w:w="1794" w:type="dxa"/>
          </w:tcPr>
          <w:p w:rsidR="00477C1C" w:rsidRPr="00AF1AE4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9471,</w:t>
            </w:r>
            <w:r w:rsidR="00994D04"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77C1C" w:rsidRPr="00AF1AE4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103,7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A1261D">
            <w:pPr>
              <w:rPr>
                <w:sz w:val="28"/>
              </w:rPr>
            </w:pPr>
            <w:r w:rsidRPr="009C7186">
              <w:rPr>
                <w:sz w:val="28"/>
              </w:rPr>
              <w:t>Производство и распределение электроэнергии, газа и воды</w:t>
            </w:r>
          </w:p>
        </w:tc>
        <w:tc>
          <w:tcPr>
            <w:tcW w:w="1701" w:type="dxa"/>
          </w:tcPr>
          <w:p w:rsidR="00477C1C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</w:t>
            </w:r>
          </w:p>
          <w:p w:rsidR="00477C1C" w:rsidRPr="009C7186" w:rsidRDefault="00477C1C" w:rsidP="000574CF">
            <w:pPr>
              <w:jc w:val="center"/>
              <w:rPr>
                <w:sz w:val="28"/>
              </w:rPr>
            </w:pPr>
          </w:p>
        </w:tc>
        <w:tc>
          <w:tcPr>
            <w:tcW w:w="1794" w:type="dxa"/>
          </w:tcPr>
          <w:p w:rsidR="00477C1C" w:rsidRPr="009C7186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52,9</w:t>
            </w:r>
          </w:p>
        </w:tc>
        <w:tc>
          <w:tcPr>
            <w:tcW w:w="1843" w:type="dxa"/>
            <w:shd w:val="clear" w:color="auto" w:fill="auto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343CCA">
            <w:pPr>
              <w:rPr>
                <w:sz w:val="28"/>
              </w:rPr>
            </w:pPr>
            <w:r w:rsidRPr="009C7186">
              <w:rPr>
                <w:sz w:val="28"/>
              </w:rPr>
              <w:t>Строительство</w:t>
            </w:r>
          </w:p>
        </w:tc>
        <w:tc>
          <w:tcPr>
            <w:tcW w:w="1701" w:type="dxa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41,5</w:t>
            </w:r>
          </w:p>
        </w:tc>
        <w:tc>
          <w:tcPr>
            <w:tcW w:w="1794" w:type="dxa"/>
          </w:tcPr>
          <w:p w:rsidR="00477C1C" w:rsidRPr="009C7186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34,3</w:t>
            </w:r>
          </w:p>
        </w:tc>
        <w:tc>
          <w:tcPr>
            <w:tcW w:w="1843" w:type="dxa"/>
            <w:shd w:val="clear" w:color="auto" w:fill="auto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120,9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343CCA">
            <w:pPr>
              <w:rPr>
                <w:sz w:val="28"/>
              </w:rPr>
            </w:pPr>
            <w:r w:rsidRPr="009C7186">
              <w:rPr>
                <w:sz w:val="28"/>
              </w:rPr>
              <w:t>Гостиницы и рестораны</w:t>
            </w:r>
          </w:p>
        </w:tc>
        <w:tc>
          <w:tcPr>
            <w:tcW w:w="1701" w:type="dxa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23,1</w:t>
            </w:r>
          </w:p>
        </w:tc>
        <w:tc>
          <w:tcPr>
            <w:tcW w:w="1794" w:type="dxa"/>
          </w:tcPr>
          <w:p w:rsidR="00477C1C" w:rsidRPr="009C7186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19,4</w:t>
            </w:r>
          </w:p>
        </w:tc>
        <w:tc>
          <w:tcPr>
            <w:tcW w:w="1843" w:type="dxa"/>
            <w:shd w:val="clear" w:color="auto" w:fill="auto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119,1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343CCA">
            <w:pPr>
              <w:rPr>
                <w:sz w:val="28"/>
              </w:rPr>
            </w:pPr>
            <w:r w:rsidRPr="009C7186">
              <w:rPr>
                <w:sz w:val="28"/>
              </w:rPr>
              <w:t>Транспорт и связь</w:t>
            </w:r>
          </w:p>
        </w:tc>
        <w:tc>
          <w:tcPr>
            <w:tcW w:w="1701" w:type="dxa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81,9</w:t>
            </w:r>
          </w:p>
        </w:tc>
        <w:tc>
          <w:tcPr>
            <w:tcW w:w="1794" w:type="dxa"/>
          </w:tcPr>
          <w:p w:rsidR="00477C1C" w:rsidRPr="009C7186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</w:t>
            </w:r>
            <w:r w:rsidR="00994D04">
              <w:rPr>
                <w:sz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95,8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A601A3">
            <w:pPr>
              <w:rPr>
                <w:sz w:val="28"/>
              </w:rPr>
            </w:pPr>
            <w:r w:rsidRPr="009C7186">
              <w:rPr>
                <w:sz w:val="28"/>
              </w:rPr>
              <w:t xml:space="preserve">Операции с недвижимым имуществом, </w:t>
            </w:r>
            <w:r>
              <w:rPr>
                <w:sz w:val="28"/>
              </w:rPr>
              <w:t>сопутствующие дополнительные услуги</w:t>
            </w:r>
          </w:p>
        </w:tc>
        <w:tc>
          <w:tcPr>
            <w:tcW w:w="1701" w:type="dxa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63,0</w:t>
            </w:r>
          </w:p>
        </w:tc>
        <w:tc>
          <w:tcPr>
            <w:tcW w:w="1794" w:type="dxa"/>
          </w:tcPr>
          <w:p w:rsidR="00477C1C" w:rsidRPr="009C7186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</w:t>
            </w:r>
            <w:r w:rsidR="00994D04">
              <w:rPr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107,9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343CCA">
            <w:pPr>
              <w:rPr>
                <w:sz w:val="28"/>
              </w:rPr>
            </w:pPr>
            <w:r w:rsidRPr="009C7186">
              <w:rPr>
                <w:sz w:val="28"/>
              </w:rPr>
              <w:t xml:space="preserve">Образование </w:t>
            </w:r>
          </w:p>
        </w:tc>
        <w:tc>
          <w:tcPr>
            <w:tcW w:w="1701" w:type="dxa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21,7</w:t>
            </w:r>
          </w:p>
        </w:tc>
        <w:tc>
          <w:tcPr>
            <w:tcW w:w="1794" w:type="dxa"/>
          </w:tcPr>
          <w:p w:rsidR="00477C1C" w:rsidRPr="009C7186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17,7</w:t>
            </w:r>
          </w:p>
        </w:tc>
        <w:tc>
          <w:tcPr>
            <w:tcW w:w="1843" w:type="dxa"/>
            <w:shd w:val="clear" w:color="auto" w:fill="auto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122,5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343CCA">
            <w:pPr>
              <w:rPr>
                <w:sz w:val="28"/>
              </w:rPr>
            </w:pPr>
            <w:r w:rsidRPr="009C7186">
              <w:rPr>
                <w:sz w:val="28"/>
              </w:rPr>
              <w:t>Здравоохранение и предоставление социальных услуг</w:t>
            </w:r>
          </w:p>
        </w:tc>
        <w:tc>
          <w:tcPr>
            <w:tcW w:w="1701" w:type="dxa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209,6</w:t>
            </w:r>
          </w:p>
        </w:tc>
        <w:tc>
          <w:tcPr>
            <w:tcW w:w="1794" w:type="dxa"/>
          </w:tcPr>
          <w:p w:rsidR="00477C1C" w:rsidRPr="009C7186" w:rsidRDefault="00477C1C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189,6</w:t>
            </w:r>
          </w:p>
        </w:tc>
        <w:tc>
          <w:tcPr>
            <w:tcW w:w="1843" w:type="dxa"/>
            <w:shd w:val="clear" w:color="auto" w:fill="auto"/>
          </w:tcPr>
          <w:p w:rsidR="00477C1C" w:rsidRPr="009C7186" w:rsidRDefault="00477C1C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110,5</w:t>
            </w:r>
          </w:p>
        </w:tc>
      </w:tr>
      <w:tr w:rsidR="00477C1C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477C1C" w:rsidRPr="009C7186" w:rsidRDefault="00477C1C" w:rsidP="00A601A3">
            <w:pPr>
              <w:rPr>
                <w:sz w:val="28"/>
              </w:rPr>
            </w:pPr>
            <w:r>
              <w:rPr>
                <w:sz w:val="28"/>
              </w:rPr>
              <w:t>Предоставление прочих видов</w:t>
            </w:r>
            <w:r w:rsidRPr="009C7186">
              <w:rPr>
                <w:sz w:val="28"/>
              </w:rPr>
              <w:t xml:space="preserve"> услуг</w:t>
            </w:r>
          </w:p>
        </w:tc>
        <w:tc>
          <w:tcPr>
            <w:tcW w:w="1701" w:type="dxa"/>
          </w:tcPr>
          <w:p w:rsidR="00477C1C" w:rsidRPr="009C7186" w:rsidRDefault="00E66F55" w:rsidP="000574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1794" w:type="dxa"/>
          </w:tcPr>
          <w:p w:rsidR="00477C1C" w:rsidRPr="009C7186" w:rsidRDefault="00E66F55" w:rsidP="001B67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51,7</w:t>
            </w:r>
          </w:p>
        </w:tc>
        <w:tc>
          <w:tcPr>
            <w:tcW w:w="1843" w:type="dxa"/>
            <w:shd w:val="clear" w:color="auto" w:fill="auto"/>
          </w:tcPr>
          <w:p w:rsidR="00556CEE" w:rsidRPr="009C7186" w:rsidRDefault="00556CEE" w:rsidP="00556C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124,7</w:t>
            </w:r>
          </w:p>
        </w:tc>
      </w:tr>
      <w:tr w:rsidR="00B470AD" w:rsidRPr="00E75A72" w:rsidTr="00CE241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B470AD" w:rsidRPr="00847974" w:rsidRDefault="00B470AD" w:rsidP="00A1261D">
            <w:pPr>
              <w:rPr>
                <w:b/>
              </w:rPr>
            </w:pPr>
            <w:r w:rsidRPr="00847974">
              <w:rPr>
                <w:b/>
              </w:rPr>
              <w:t>ВСЕГО:</w:t>
            </w:r>
          </w:p>
        </w:tc>
        <w:tc>
          <w:tcPr>
            <w:tcW w:w="1701" w:type="dxa"/>
          </w:tcPr>
          <w:p w:rsidR="00B470AD" w:rsidRPr="00847974" w:rsidRDefault="00477C1C" w:rsidP="00A126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10780,2</w:t>
            </w:r>
          </w:p>
        </w:tc>
        <w:tc>
          <w:tcPr>
            <w:tcW w:w="1794" w:type="dxa"/>
          </w:tcPr>
          <w:p w:rsidR="00B470AD" w:rsidRPr="00847974" w:rsidRDefault="00477C1C" w:rsidP="00A126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10486</w:t>
            </w:r>
            <w:r w:rsidR="00834777">
              <w:rPr>
                <w:b/>
                <w:sz w:val="28"/>
              </w:rPr>
              <w:t>,</w:t>
            </w:r>
            <w:r w:rsidR="00994D04">
              <w:rPr>
                <w:b/>
                <w:sz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470AD" w:rsidRPr="00847974" w:rsidRDefault="00834777" w:rsidP="000574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102,8</w:t>
            </w:r>
          </w:p>
        </w:tc>
      </w:tr>
    </w:tbl>
    <w:p w:rsidR="00BA5803" w:rsidRDefault="009C2FF3" w:rsidP="005A2965">
      <w:pPr>
        <w:jc w:val="both"/>
        <w:rPr>
          <w:color w:val="008080"/>
          <w:sz w:val="28"/>
        </w:rPr>
      </w:pPr>
      <w:r>
        <w:rPr>
          <w:noProof/>
          <w:color w:val="008080"/>
          <w:sz w:val="28"/>
          <w:lang w:eastAsia="ru-RU"/>
        </w:rPr>
        <w:lastRenderedPageBreak/>
        <w:drawing>
          <wp:inline distT="0" distB="0" distL="0" distR="0">
            <wp:extent cx="6181725" cy="32575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06D4" w:rsidRDefault="001D06D4" w:rsidP="005A2965">
      <w:pPr>
        <w:jc w:val="both"/>
        <w:rPr>
          <w:color w:val="008080"/>
          <w:sz w:val="28"/>
        </w:rPr>
      </w:pPr>
    </w:p>
    <w:p w:rsidR="001D06D4" w:rsidRDefault="001D06D4" w:rsidP="005A2965">
      <w:pPr>
        <w:jc w:val="both"/>
        <w:rPr>
          <w:color w:val="008080"/>
          <w:sz w:val="28"/>
        </w:rPr>
      </w:pPr>
    </w:p>
    <w:p w:rsidR="00BA5803" w:rsidRPr="00E75A72" w:rsidRDefault="009C2FF3" w:rsidP="005A2965">
      <w:pPr>
        <w:jc w:val="both"/>
        <w:rPr>
          <w:color w:val="008080"/>
          <w:sz w:val="28"/>
        </w:rPr>
      </w:pPr>
      <w:r>
        <w:rPr>
          <w:noProof/>
          <w:color w:val="008080"/>
          <w:sz w:val="28"/>
          <w:lang w:eastAsia="ru-RU"/>
        </w:rPr>
        <w:drawing>
          <wp:inline distT="0" distB="0" distL="0" distR="0">
            <wp:extent cx="6181725" cy="27717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6292" w:rsidRPr="00706E00" w:rsidRDefault="00BA5803" w:rsidP="00A4722B">
      <w:pPr>
        <w:ind w:firstLine="567"/>
        <w:jc w:val="both"/>
        <w:rPr>
          <w:sz w:val="28"/>
        </w:rPr>
      </w:pPr>
      <w:r w:rsidRPr="00E75A72">
        <w:rPr>
          <w:color w:val="008080"/>
          <w:sz w:val="28"/>
        </w:rPr>
        <w:br w:type="page"/>
      </w:r>
      <w:r w:rsidR="005D0428" w:rsidRPr="00706E00">
        <w:rPr>
          <w:sz w:val="28"/>
        </w:rPr>
        <w:lastRenderedPageBreak/>
        <w:t>Производство продукции по виду деятельности «Обрабатывающие производства» представлены в таблице 2.</w:t>
      </w:r>
    </w:p>
    <w:p w:rsidR="005A2965" w:rsidRPr="00706E00" w:rsidRDefault="005A2965" w:rsidP="005D0428">
      <w:pPr>
        <w:ind w:firstLine="708"/>
        <w:jc w:val="center"/>
        <w:rPr>
          <w:sz w:val="16"/>
          <w:szCs w:val="16"/>
        </w:rPr>
      </w:pPr>
    </w:p>
    <w:p w:rsidR="005D0428" w:rsidRPr="00706E00" w:rsidRDefault="005D0428" w:rsidP="005D0428">
      <w:pPr>
        <w:ind w:firstLine="708"/>
        <w:jc w:val="center"/>
        <w:rPr>
          <w:sz w:val="28"/>
        </w:rPr>
      </w:pPr>
      <w:r w:rsidRPr="00706E00">
        <w:rPr>
          <w:sz w:val="28"/>
        </w:rPr>
        <w:t>Отгружено товаров собственного производства по виду</w:t>
      </w:r>
    </w:p>
    <w:p w:rsidR="005D0428" w:rsidRPr="00706E00" w:rsidRDefault="005D0428" w:rsidP="005D0428">
      <w:pPr>
        <w:ind w:firstLine="708"/>
        <w:jc w:val="center"/>
        <w:rPr>
          <w:sz w:val="28"/>
        </w:rPr>
      </w:pPr>
      <w:r w:rsidRPr="00706E00">
        <w:rPr>
          <w:sz w:val="28"/>
        </w:rPr>
        <w:t>экономической деятельности «Обрабатывающие производства»</w:t>
      </w:r>
    </w:p>
    <w:p w:rsidR="005D0428" w:rsidRPr="00706E00" w:rsidRDefault="004F360E" w:rsidP="004F360E">
      <w:pPr>
        <w:ind w:firstLine="708"/>
        <w:jc w:val="right"/>
        <w:rPr>
          <w:sz w:val="28"/>
        </w:rPr>
      </w:pPr>
      <w:r w:rsidRPr="00706E00">
        <w:rPr>
          <w:sz w:val="28"/>
        </w:rPr>
        <w:tab/>
      </w:r>
      <w:r w:rsidRPr="00706E00">
        <w:rPr>
          <w:sz w:val="28"/>
        </w:rPr>
        <w:tab/>
      </w:r>
      <w:r w:rsidRPr="00706E00">
        <w:rPr>
          <w:sz w:val="28"/>
        </w:rPr>
        <w:tab/>
      </w:r>
      <w:r w:rsidRPr="00706E00">
        <w:rPr>
          <w:sz w:val="28"/>
        </w:rPr>
        <w:tab/>
      </w:r>
      <w:r w:rsidRPr="00706E00">
        <w:rPr>
          <w:sz w:val="28"/>
        </w:rPr>
        <w:tab/>
      </w:r>
      <w:r w:rsidRPr="00706E00">
        <w:rPr>
          <w:sz w:val="28"/>
        </w:rPr>
        <w:tab/>
      </w:r>
      <w:r w:rsidRPr="00706E00">
        <w:rPr>
          <w:sz w:val="28"/>
        </w:rPr>
        <w:tab/>
        <w:t xml:space="preserve"> </w:t>
      </w:r>
      <w:r w:rsidR="005D0428" w:rsidRPr="00706E00">
        <w:rPr>
          <w:sz w:val="28"/>
        </w:rPr>
        <w:t>таблица 2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800"/>
        <w:gridCol w:w="1850"/>
        <w:gridCol w:w="1570"/>
      </w:tblGrid>
      <w:tr w:rsidR="005D0428" w:rsidRPr="00E75A72" w:rsidTr="004F3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vMerge w:val="restart"/>
          </w:tcPr>
          <w:p w:rsidR="005D0428" w:rsidRPr="00706E00" w:rsidRDefault="005D0428" w:rsidP="00A1261D">
            <w:pPr>
              <w:framePr w:hSpace="180" w:wrap="around" w:vAnchor="text" w:hAnchor="text" w:y="1"/>
            </w:pPr>
            <w:r w:rsidRPr="00706E00">
              <w:t>Виды производств</w:t>
            </w:r>
          </w:p>
        </w:tc>
        <w:tc>
          <w:tcPr>
            <w:tcW w:w="5220" w:type="dxa"/>
            <w:gridSpan w:val="3"/>
          </w:tcPr>
          <w:p w:rsidR="005D0428" w:rsidRPr="00706E00" w:rsidRDefault="005D0428" w:rsidP="00A1261D">
            <w:pPr>
              <w:framePr w:hSpace="180" w:wrap="around" w:vAnchor="text" w:hAnchor="text" w:y="1"/>
            </w:pPr>
            <w:r w:rsidRPr="00706E00">
              <w:t>Отгружено товаров собственного производства по виду экономической деятельности «Обрабатывающие производства», млн. руб.</w:t>
            </w:r>
          </w:p>
        </w:tc>
      </w:tr>
      <w:tr w:rsidR="005D0428" w:rsidRPr="00E75A72" w:rsidTr="004F3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  <w:vMerge/>
          </w:tcPr>
          <w:p w:rsidR="005D0428" w:rsidRPr="00706E00" w:rsidRDefault="005D0428" w:rsidP="00A1261D">
            <w:pPr>
              <w:framePr w:hSpace="180" w:wrap="around" w:vAnchor="text" w:hAnchor="text" w:y="1"/>
            </w:pPr>
          </w:p>
        </w:tc>
        <w:tc>
          <w:tcPr>
            <w:tcW w:w="1800" w:type="dxa"/>
          </w:tcPr>
          <w:p w:rsidR="00CE241E" w:rsidRDefault="00CE241E" w:rsidP="00CE241E">
            <w:pPr>
              <w:framePr w:hSpace="180" w:wrap="around" w:vAnchor="text" w:hAnchor="text" w:y="1"/>
            </w:pPr>
            <w:r>
              <w:t>За 1 полугодие</w:t>
            </w:r>
          </w:p>
          <w:p w:rsidR="005D0428" w:rsidRPr="00706E00" w:rsidRDefault="00CE241E" w:rsidP="00CE241E">
            <w:pPr>
              <w:framePr w:hSpace="180" w:wrap="around" w:vAnchor="text" w:hAnchor="text" w:y="1"/>
            </w:pPr>
            <w:r>
              <w:t xml:space="preserve">        </w:t>
            </w:r>
            <w:r w:rsidR="00CB58F5">
              <w:t>2019</w:t>
            </w:r>
            <w:r w:rsidR="005D0428" w:rsidRPr="00706E00">
              <w:t xml:space="preserve"> год</w:t>
            </w:r>
          </w:p>
        </w:tc>
        <w:tc>
          <w:tcPr>
            <w:tcW w:w="1850" w:type="dxa"/>
          </w:tcPr>
          <w:p w:rsidR="007C5A08" w:rsidRDefault="009D0681" w:rsidP="00A1261D">
            <w:pPr>
              <w:framePr w:hSpace="180" w:wrap="around" w:vAnchor="text" w:hAnchor="text" w:y="1"/>
              <w:jc w:val="center"/>
            </w:pPr>
            <w:r>
              <w:t xml:space="preserve">За 1 </w:t>
            </w:r>
            <w:r w:rsidR="00CE241E">
              <w:t>полугодие</w:t>
            </w:r>
          </w:p>
          <w:p w:rsidR="005D0428" w:rsidRPr="00706E00" w:rsidRDefault="00A70D1A" w:rsidP="00A1261D">
            <w:pPr>
              <w:framePr w:hSpace="180" w:wrap="around" w:vAnchor="text" w:hAnchor="text" w:y="1"/>
              <w:jc w:val="center"/>
            </w:pPr>
            <w:r>
              <w:t xml:space="preserve"> </w:t>
            </w:r>
            <w:r w:rsidR="005D0428" w:rsidRPr="00706E00">
              <w:t>20</w:t>
            </w:r>
            <w:r w:rsidR="00CB58F5">
              <w:t>18</w:t>
            </w:r>
            <w:r w:rsidR="005D0428" w:rsidRPr="00706E00">
              <w:t xml:space="preserve"> год</w:t>
            </w:r>
          </w:p>
        </w:tc>
        <w:tc>
          <w:tcPr>
            <w:tcW w:w="1570" w:type="dxa"/>
          </w:tcPr>
          <w:p w:rsidR="005D0428" w:rsidRPr="00706E00" w:rsidRDefault="005D0428" w:rsidP="00A1261D">
            <w:pPr>
              <w:framePr w:hSpace="180" w:wrap="around" w:vAnchor="text" w:hAnchor="text" w:y="1"/>
              <w:jc w:val="center"/>
            </w:pPr>
            <w:r w:rsidRPr="00706E00">
              <w:t xml:space="preserve">% </w:t>
            </w:r>
          </w:p>
        </w:tc>
      </w:tr>
      <w:tr w:rsidR="008D5B54" w:rsidRPr="00E75A72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706E00" w:rsidRDefault="008D5B54" w:rsidP="008D5B54">
            <w:pPr>
              <w:framePr w:hSpace="180" w:wrap="around" w:vAnchor="text" w:hAnchor="text" w:y="1"/>
            </w:pPr>
            <w:r w:rsidRPr="00706E00"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80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5653,6</w:t>
            </w:r>
          </w:p>
        </w:tc>
        <w:tc>
          <w:tcPr>
            <w:tcW w:w="185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5562,1</w:t>
            </w:r>
          </w:p>
        </w:tc>
        <w:tc>
          <w:tcPr>
            <w:tcW w:w="157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101,6</w:t>
            </w:r>
          </w:p>
        </w:tc>
      </w:tr>
      <w:tr w:rsidR="008D5B54" w:rsidRPr="00E75A72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706E00" w:rsidRDefault="008D5B54" w:rsidP="008D5B54">
            <w:pPr>
              <w:framePr w:hSpace="180" w:wrap="around" w:vAnchor="text" w:hAnchor="text" w:y="1"/>
            </w:pPr>
            <w:r w:rsidRPr="00706E00">
              <w:t>Производство электрооборудования, электронного и оптического оборудования</w:t>
            </w:r>
          </w:p>
        </w:tc>
        <w:tc>
          <w:tcPr>
            <w:tcW w:w="180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365,3</w:t>
            </w:r>
          </w:p>
        </w:tc>
        <w:tc>
          <w:tcPr>
            <w:tcW w:w="185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292,1</w:t>
            </w:r>
          </w:p>
        </w:tc>
        <w:tc>
          <w:tcPr>
            <w:tcW w:w="157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125,0</w:t>
            </w:r>
          </w:p>
        </w:tc>
      </w:tr>
      <w:tr w:rsidR="008D5B54" w:rsidRPr="00E75A72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706E00" w:rsidRDefault="008D5B54" w:rsidP="008D5B54">
            <w:pPr>
              <w:framePr w:hSpace="180" w:wrap="around" w:vAnchor="text" w:hAnchor="text" w:y="1"/>
            </w:pPr>
            <w:r w:rsidRPr="00706E00">
              <w:t xml:space="preserve">Производство </w:t>
            </w:r>
            <w:r>
              <w:t>компьютеров, электронных и оптических изделий, электронного оборудования</w:t>
            </w:r>
          </w:p>
        </w:tc>
        <w:tc>
          <w:tcPr>
            <w:tcW w:w="180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2318,1</w:t>
            </w:r>
          </w:p>
        </w:tc>
        <w:tc>
          <w:tcPr>
            <w:tcW w:w="185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2132,4</w:t>
            </w:r>
          </w:p>
        </w:tc>
        <w:tc>
          <w:tcPr>
            <w:tcW w:w="157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108,7</w:t>
            </w:r>
          </w:p>
        </w:tc>
      </w:tr>
      <w:tr w:rsidR="008D5B54" w:rsidRPr="00E75A72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both"/>
            </w:pPr>
            <w:r>
              <w:t>Химическое производство</w:t>
            </w:r>
          </w:p>
        </w:tc>
        <w:tc>
          <w:tcPr>
            <w:tcW w:w="180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547,7</w:t>
            </w:r>
          </w:p>
        </w:tc>
        <w:tc>
          <w:tcPr>
            <w:tcW w:w="185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581,5</w:t>
            </w:r>
          </w:p>
        </w:tc>
        <w:tc>
          <w:tcPr>
            <w:tcW w:w="157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94,2</w:t>
            </w:r>
          </w:p>
        </w:tc>
      </w:tr>
      <w:tr w:rsidR="008D5B54" w:rsidRPr="00E75A72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both"/>
            </w:pPr>
            <w:r w:rsidRPr="00706E00">
              <w:t>Производство резиновых и пластмассовых изделий</w:t>
            </w:r>
          </w:p>
        </w:tc>
        <w:tc>
          <w:tcPr>
            <w:tcW w:w="180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118,7</w:t>
            </w:r>
          </w:p>
        </w:tc>
        <w:tc>
          <w:tcPr>
            <w:tcW w:w="185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76,8</w:t>
            </w:r>
          </w:p>
        </w:tc>
        <w:tc>
          <w:tcPr>
            <w:tcW w:w="1570" w:type="dxa"/>
          </w:tcPr>
          <w:p w:rsidR="008D5B54" w:rsidRPr="00706E00" w:rsidRDefault="008D5B54" w:rsidP="008D5B54">
            <w:pPr>
              <w:framePr w:hSpace="180" w:wrap="around" w:vAnchor="text" w:hAnchor="text" w:y="1"/>
              <w:jc w:val="center"/>
            </w:pPr>
            <w:r>
              <w:t>154,6</w:t>
            </w:r>
          </w:p>
        </w:tc>
      </w:tr>
      <w:tr w:rsidR="008D5B54" w:rsidRPr="00E75A72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817E57" w:rsidRDefault="008D5B54" w:rsidP="008D5B54">
            <w:pPr>
              <w:framePr w:hSpace="180" w:wrap="around" w:vAnchor="text" w:hAnchor="text" w:y="1"/>
              <w:jc w:val="both"/>
            </w:pPr>
            <w:r w:rsidRPr="00817E57">
              <w:t>Обработка древесины и производство изделий из дерева</w:t>
            </w:r>
          </w:p>
        </w:tc>
        <w:tc>
          <w:tcPr>
            <w:tcW w:w="1800" w:type="dxa"/>
          </w:tcPr>
          <w:p w:rsidR="008D5B54" w:rsidRPr="00817E57" w:rsidRDefault="008D5B54" w:rsidP="008D5B54">
            <w:pPr>
              <w:framePr w:hSpace="180" w:wrap="around" w:vAnchor="text" w:hAnchor="text" w:y="1"/>
              <w:jc w:val="center"/>
            </w:pPr>
            <w:r>
              <w:t>79,6</w:t>
            </w:r>
          </w:p>
        </w:tc>
        <w:tc>
          <w:tcPr>
            <w:tcW w:w="1850" w:type="dxa"/>
          </w:tcPr>
          <w:p w:rsidR="008D5B54" w:rsidRPr="00817E57" w:rsidRDefault="008D5B54" w:rsidP="008D5B54">
            <w:pPr>
              <w:framePr w:hSpace="180" w:wrap="around" w:vAnchor="text" w:hAnchor="text" w:y="1"/>
              <w:jc w:val="center"/>
            </w:pPr>
            <w:r>
              <w:t>69,4</w:t>
            </w:r>
          </w:p>
        </w:tc>
        <w:tc>
          <w:tcPr>
            <w:tcW w:w="1570" w:type="dxa"/>
          </w:tcPr>
          <w:p w:rsidR="008D5B54" w:rsidRPr="00817E57" w:rsidRDefault="008D5B54" w:rsidP="008D5B54">
            <w:pPr>
              <w:framePr w:hSpace="180" w:wrap="around" w:vAnchor="text" w:hAnchor="text" w:y="1"/>
              <w:jc w:val="center"/>
            </w:pPr>
            <w:r>
              <w:t>114,7</w:t>
            </w:r>
          </w:p>
        </w:tc>
      </w:tr>
      <w:tr w:rsidR="008D5B54" w:rsidRPr="00E605F6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E605F6" w:rsidRDefault="008D5B54" w:rsidP="008D5B54">
            <w:pPr>
              <w:framePr w:hSpace="180" w:wrap="around" w:vAnchor="text" w:hAnchor="text" w:y="1"/>
            </w:pPr>
            <w:r w:rsidRPr="00E605F6">
              <w:t>Производство пищевых продуктов, включая напитки и табака</w:t>
            </w:r>
          </w:p>
        </w:tc>
        <w:tc>
          <w:tcPr>
            <w:tcW w:w="1800" w:type="dxa"/>
          </w:tcPr>
          <w:p w:rsidR="008D5B54" w:rsidRPr="00E605F6" w:rsidRDefault="008D5B54" w:rsidP="008D5B54">
            <w:pPr>
              <w:framePr w:hSpace="180" w:wrap="around" w:vAnchor="text" w:hAnchor="text" w:y="1"/>
              <w:jc w:val="center"/>
            </w:pPr>
            <w:r>
              <w:t>229,1</w:t>
            </w:r>
          </w:p>
        </w:tc>
        <w:tc>
          <w:tcPr>
            <w:tcW w:w="1850" w:type="dxa"/>
          </w:tcPr>
          <w:p w:rsidR="008D5B54" w:rsidRPr="00E605F6" w:rsidRDefault="008D5B54" w:rsidP="008D5B54">
            <w:pPr>
              <w:framePr w:hSpace="180" w:wrap="around" w:vAnchor="text" w:hAnchor="text" w:y="1"/>
              <w:jc w:val="center"/>
            </w:pPr>
            <w:r>
              <w:t>251,4</w:t>
            </w:r>
          </w:p>
        </w:tc>
        <w:tc>
          <w:tcPr>
            <w:tcW w:w="1570" w:type="dxa"/>
          </w:tcPr>
          <w:p w:rsidR="008D5B54" w:rsidRPr="00E605F6" w:rsidRDefault="008D5B54" w:rsidP="008D5B54">
            <w:pPr>
              <w:framePr w:hSpace="180" w:wrap="around" w:vAnchor="text" w:hAnchor="text" w:y="1"/>
              <w:jc w:val="center"/>
            </w:pPr>
            <w:r>
              <w:t>91,1</w:t>
            </w:r>
          </w:p>
        </w:tc>
      </w:tr>
      <w:tr w:rsidR="008D5B54" w:rsidRPr="00E605F6" w:rsidTr="004F360E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8D5B54" w:rsidRPr="00E605F6" w:rsidRDefault="008D5B54" w:rsidP="008D5B54">
            <w:pPr>
              <w:framePr w:hSpace="180" w:wrap="around" w:vAnchor="text" w:hAnchor="text" w:y="1"/>
              <w:jc w:val="both"/>
            </w:pPr>
            <w:r w:rsidRPr="00E605F6">
              <w:t>Текстильное и швейное производство</w:t>
            </w:r>
          </w:p>
        </w:tc>
        <w:tc>
          <w:tcPr>
            <w:tcW w:w="1800" w:type="dxa"/>
          </w:tcPr>
          <w:p w:rsidR="008D5B54" w:rsidRPr="00E605F6" w:rsidRDefault="008D5B54" w:rsidP="008D5B54">
            <w:pPr>
              <w:framePr w:hSpace="180" w:wrap="around" w:vAnchor="text" w:hAnchor="text" w:y="1"/>
              <w:jc w:val="center"/>
            </w:pPr>
            <w:r>
              <w:t>3,5</w:t>
            </w:r>
          </w:p>
        </w:tc>
        <w:tc>
          <w:tcPr>
            <w:tcW w:w="1850" w:type="dxa"/>
          </w:tcPr>
          <w:p w:rsidR="008D5B54" w:rsidRPr="00E605F6" w:rsidRDefault="008D5B54" w:rsidP="008D5B54">
            <w:pPr>
              <w:framePr w:hSpace="180" w:wrap="around" w:vAnchor="text" w:hAnchor="text" w:y="1"/>
              <w:jc w:val="center"/>
            </w:pPr>
            <w:r>
              <w:t>67,4</w:t>
            </w:r>
          </w:p>
        </w:tc>
        <w:tc>
          <w:tcPr>
            <w:tcW w:w="1570" w:type="dxa"/>
          </w:tcPr>
          <w:p w:rsidR="008D5B54" w:rsidRPr="00E605F6" w:rsidRDefault="008D5B54" w:rsidP="008D5B54">
            <w:pPr>
              <w:framePr w:hSpace="180" w:wrap="around" w:vAnchor="text" w:hAnchor="text" w:y="1"/>
              <w:jc w:val="center"/>
            </w:pPr>
            <w:r>
              <w:t>5,2</w:t>
            </w:r>
          </w:p>
        </w:tc>
      </w:tr>
    </w:tbl>
    <w:p w:rsidR="006F3076" w:rsidRPr="00E605F6" w:rsidRDefault="006F3076" w:rsidP="006F3076">
      <w:pPr>
        <w:ind w:firstLine="708"/>
        <w:jc w:val="both"/>
        <w:rPr>
          <w:sz w:val="16"/>
          <w:szCs w:val="16"/>
        </w:rPr>
      </w:pPr>
    </w:p>
    <w:p w:rsidR="005D5D28" w:rsidRDefault="005D5D28">
      <w:pPr>
        <w:ind w:left="720"/>
        <w:jc w:val="center"/>
        <w:rPr>
          <w:b/>
          <w:sz w:val="28"/>
          <w:szCs w:val="28"/>
        </w:rPr>
      </w:pPr>
    </w:p>
    <w:p w:rsidR="00617D09" w:rsidRPr="00E605F6" w:rsidRDefault="0031766C" w:rsidP="0031766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261D" w:rsidRPr="008303B6" w:rsidRDefault="00A1261D">
      <w:pPr>
        <w:ind w:firstLine="720"/>
        <w:jc w:val="both"/>
        <w:rPr>
          <w:color w:val="008000"/>
          <w:sz w:val="16"/>
          <w:szCs w:val="16"/>
        </w:rPr>
      </w:pPr>
    </w:p>
    <w:p w:rsidR="00FC25F6" w:rsidRDefault="00FC25F6">
      <w:pPr>
        <w:ind w:firstLine="720"/>
        <w:jc w:val="center"/>
        <w:rPr>
          <w:b/>
          <w:sz w:val="28"/>
          <w:szCs w:val="28"/>
        </w:rPr>
      </w:pPr>
    </w:p>
    <w:p w:rsidR="002B30A2" w:rsidRDefault="002B30A2">
      <w:pPr>
        <w:ind w:firstLine="720"/>
        <w:jc w:val="center"/>
        <w:rPr>
          <w:b/>
          <w:sz w:val="28"/>
          <w:szCs w:val="28"/>
        </w:rPr>
      </w:pPr>
    </w:p>
    <w:p w:rsidR="002B30A2" w:rsidRDefault="002B30A2">
      <w:pPr>
        <w:ind w:firstLine="720"/>
        <w:jc w:val="center"/>
        <w:rPr>
          <w:b/>
          <w:sz w:val="28"/>
          <w:szCs w:val="28"/>
        </w:rPr>
      </w:pPr>
    </w:p>
    <w:p w:rsidR="00FC25F6" w:rsidRDefault="00FC25F6">
      <w:pPr>
        <w:ind w:firstLine="720"/>
        <w:jc w:val="center"/>
        <w:rPr>
          <w:b/>
          <w:sz w:val="28"/>
          <w:szCs w:val="28"/>
        </w:rPr>
      </w:pPr>
    </w:p>
    <w:p w:rsidR="00FC25F6" w:rsidRDefault="00FC25F6">
      <w:pPr>
        <w:ind w:firstLine="720"/>
        <w:jc w:val="center"/>
        <w:rPr>
          <w:b/>
          <w:sz w:val="28"/>
          <w:szCs w:val="28"/>
        </w:rPr>
      </w:pPr>
    </w:p>
    <w:p w:rsidR="00FC25F6" w:rsidRDefault="00FC25F6">
      <w:pPr>
        <w:ind w:firstLine="720"/>
        <w:jc w:val="center"/>
        <w:rPr>
          <w:b/>
          <w:sz w:val="28"/>
          <w:szCs w:val="28"/>
        </w:rPr>
      </w:pPr>
    </w:p>
    <w:p w:rsidR="00FC25F6" w:rsidRDefault="00FC25F6">
      <w:pPr>
        <w:ind w:firstLine="720"/>
        <w:jc w:val="center"/>
        <w:rPr>
          <w:b/>
          <w:sz w:val="28"/>
          <w:szCs w:val="28"/>
        </w:rPr>
      </w:pPr>
    </w:p>
    <w:p w:rsidR="00FC25F6" w:rsidRDefault="00FC25F6">
      <w:pPr>
        <w:ind w:firstLine="720"/>
        <w:jc w:val="center"/>
        <w:rPr>
          <w:b/>
          <w:sz w:val="28"/>
          <w:szCs w:val="28"/>
        </w:rPr>
      </w:pPr>
    </w:p>
    <w:p w:rsidR="00F247AE" w:rsidRDefault="00F247AE">
      <w:pPr>
        <w:ind w:firstLine="720"/>
        <w:jc w:val="center"/>
        <w:rPr>
          <w:b/>
          <w:sz w:val="28"/>
          <w:szCs w:val="28"/>
        </w:rPr>
      </w:pPr>
    </w:p>
    <w:p w:rsidR="00F247AE" w:rsidRDefault="00F247AE">
      <w:pPr>
        <w:ind w:firstLine="720"/>
        <w:jc w:val="center"/>
        <w:rPr>
          <w:b/>
          <w:sz w:val="28"/>
          <w:szCs w:val="28"/>
        </w:rPr>
      </w:pPr>
    </w:p>
    <w:p w:rsidR="00F247AE" w:rsidRDefault="00F247AE">
      <w:pPr>
        <w:ind w:firstLine="720"/>
        <w:jc w:val="center"/>
        <w:rPr>
          <w:b/>
          <w:sz w:val="28"/>
          <w:szCs w:val="28"/>
        </w:rPr>
      </w:pPr>
    </w:p>
    <w:p w:rsidR="00F247AE" w:rsidRDefault="00F247AE">
      <w:pPr>
        <w:ind w:firstLine="720"/>
        <w:jc w:val="center"/>
        <w:rPr>
          <w:b/>
          <w:sz w:val="28"/>
          <w:szCs w:val="28"/>
        </w:rPr>
      </w:pPr>
    </w:p>
    <w:p w:rsidR="005D5D28" w:rsidRDefault="005D5D28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3573B3" w:rsidRDefault="003573B3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1F411A" w:rsidRDefault="001F411A">
      <w:pPr>
        <w:ind w:firstLine="720"/>
        <w:jc w:val="center"/>
        <w:rPr>
          <w:b/>
          <w:sz w:val="28"/>
          <w:szCs w:val="28"/>
        </w:rPr>
      </w:pPr>
    </w:p>
    <w:p w:rsidR="00A1261D" w:rsidRPr="005171B7" w:rsidRDefault="001F411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1261D" w:rsidRPr="005171B7">
        <w:rPr>
          <w:b/>
          <w:sz w:val="28"/>
          <w:szCs w:val="28"/>
        </w:rPr>
        <w:t xml:space="preserve">. </w:t>
      </w:r>
      <w:r w:rsidR="003E0853" w:rsidRPr="005171B7">
        <w:rPr>
          <w:b/>
          <w:sz w:val="28"/>
          <w:szCs w:val="28"/>
        </w:rPr>
        <w:t>Финансовая деятельность</w:t>
      </w:r>
    </w:p>
    <w:p w:rsidR="003E0853" w:rsidRPr="005171B7" w:rsidRDefault="003E0853" w:rsidP="00B41D11">
      <w:pPr>
        <w:ind w:firstLine="540"/>
        <w:jc w:val="both"/>
        <w:rPr>
          <w:sz w:val="28"/>
          <w:szCs w:val="28"/>
        </w:rPr>
      </w:pPr>
      <w:r w:rsidRPr="005171B7">
        <w:rPr>
          <w:sz w:val="28"/>
          <w:szCs w:val="28"/>
        </w:rPr>
        <w:t>Прибыль прибыльн</w:t>
      </w:r>
      <w:r w:rsidR="007B5006">
        <w:rPr>
          <w:sz w:val="28"/>
          <w:szCs w:val="28"/>
        </w:rPr>
        <w:t xml:space="preserve">ых предприятий и организаций за </w:t>
      </w:r>
      <w:r w:rsidR="000C7A52">
        <w:rPr>
          <w:sz w:val="28"/>
          <w:szCs w:val="28"/>
        </w:rPr>
        <w:t xml:space="preserve">1 </w:t>
      </w:r>
      <w:r w:rsidR="00DF7224">
        <w:rPr>
          <w:sz w:val="28"/>
          <w:szCs w:val="28"/>
        </w:rPr>
        <w:t xml:space="preserve">полугодие </w:t>
      </w:r>
      <w:r w:rsidR="00D132C4">
        <w:rPr>
          <w:sz w:val="28"/>
          <w:szCs w:val="28"/>
        </w:rPr>
        <w:t xml:space="preserve"> 2019</w:t>
      </w:r>
      <w:r w:rsidRPr="005171B7">
        <w:rPr>
          <w:sz w:val="28"/>
          <w:szCs w:val="28"/>
        </w:rPr>
        <w:t xml:space="preserve"> год</w:t>
      </w:r>
      <w:r w:rsidR="00197BDE">
        <w:rPr>
          <w:sz w:val="28"/>
          <w:szCs w:val="28"/>
        </w:rPr>
        <w:t>а</w:t>
      </w:r>
      <w:r w:rsidRPr="005171B7">
        <w:rPr>
          <w:sz w:val="28"/>
          <w:szCs w:val="28"/>
        </w:rPr>
        <w:t xml:space="preserve"> составила </w:t>
      </w:r>
      <w:r w:rsidR="002F7C77">
        <w:rPr>
          <w:sz w:val="28"/>
          <w:szCs w:val="28"/>
        </w:rPr>
        <w:t>1533,9</w:t>
      </w:r>
      <w:r w:rsidR="000C7A52">
        <w:rPr>
          <w:sz w:val="28"/>
          <w:szCs w:val="28"/>
        </w:rPr>
        <w:t xml:space="preserve"> </w:t>
      </w:r>
      <w:r w:rsidRPr="005171B7">
        <w:rPr>
          <w:sz w:val="28"/>
          <w:szCs w:val="28"/>
        </w:rPr>
        <w:t xml:space="preserve">млн. рублей, к уровню </w:t>
      </w:r>
      <w:r w:rsidR="00247BD4" w:rsidRPr="005171B7">
        <w:rPr>
          <w:sz w:val="28"/>
          <w:szCs w:val="28"/>
        </w:rPr>
        <w:t>анал</w:t>
      </w:r>
      <w:r w:rsidR="00D132C4">
        <w:rPr>
          <w:sz w:val="28"/>
          <w:szCs w:val="28"/>
        </w:rPr>
        <w:t>огичного периода 2018</w:t>
      </w:r>
      <w:r w:rsidR="002F7C77">
        <w:rPr>
          <w:sz w:val="28"/>
          <w:szCs w:val="28"/>
        </w:rPr>
        <w:t xml:space="preserve">  </w:t>
      </w:r>
      <w:r w:rsidRPr="005171B7">
        <w:rPr>
          <w:sz w:val="28"/>
          <w:szCs w:val="28"/>
        </w:rPr>
        <w:t xml:space="preserve">года прибыль прибыльных предприятий </w:t>
      </w:r>
      <w:r w:rsidR="008539D1">
        <w:rPr>
          <w:sz w:val="28"/>
          <w:szCs w:val="28"/>
        </w:rPr>
        <w:t>у</w:t>
      </w:r>
      <w:r w:rsidR="000C7A52">
        <w:rPr>
          <w:sz w:val="28"/>
          <w:szCs w:val="28"/>
        </w:rPr>
        <w:t>величилась</w:t>
      </w:r>
      <w:r w:rsidR="008539D1">
        <w:rPr>
          <w:sz w:val="28"/>
          <w:szCs w:val="28"/>
        </w:rPr>
        <w:t xml:space="preserve"> </w:t>
      </w:r>
      <w:r w:rsidRPr="005171B7">
        <w:rPr>
          <w:sz w:val="28"/>
          <w:szCs w:val="28"/>
        </w:rPr>
        <w:t xml:space="preserve"> </w:t>
      </w:r>
      <w:r w:rsidR="00A4722B">
        <w:rPr>
          <w:sz w:val="28"/>
          <w:szCs w:val="28"/>
        </w:rPr>
        <w:t xml:space="preserve">на </w:t>
      </w:r>
      <w:r w:rsidR="00D132C4">
        <w:rPr>
          <w:sz w:val="28"/>
          <w:szCs w:val="28"/>
        </w:rPr>
        <w:t>62,</w:t>
      </w:r>
      <w:r w:rsidR="002F7C77">
        <w:rPr>
          <w:sz w:val="28"/>
          <w:szCs w:val="28"/>
        </w:rPr>
        <w:t xml:space="preserve">6 </w:t>
      </w:r>
      <w:r w:rsidR="00A4722B">
        <w:rPr>
          <w:sz w:val="28"/>
          <w:szCs w:val="28"/>
        </w:rPr>
        <w:t>%</w:t>
      </w:r>
      <w:r w:rsidRPr="005171B7">
        <w:rPr>
          <w:sz w:val="28"/>
          <w:szCs w:val="28"/>
        </w:rPr>
        <w:t xml:space="preserve"> (</w:t>
      </w:r>
      <w:r w:rsidR="00166548" w:rsidRPr="005171B7">
        <w:rPr>
          <w:sz w:val="28"/>
          <w:szCs w:val="28"/>
        </w:rPr>
        <w:t xml:space="preserve">за </w:t>
      </w:r>
      <w:r w:rsidR="00A4722B">
        <w:rPr>
          <w:sz w:val="28"/>
          <w:szCs w:val="28"/>
        </w:rPr>
        <w:t>аналогичный период</w:t>
      </w:r>
      <w:r w:rsidR="00D132C4">
        <w:rPr>
          <w:sz w:val="28"/>
          <w:szCs w:val="28"/>
        </w:rPr>
        <w:t xml:space="preserve"> 2018 </w:t>
      </w:r>
      <w:r w:rsidR="00F9517C" w:rsidRPr="005171B7">
        <w:rPr>
          <w:sz w:val="28"/>
          <w:szCs w:val="28"/>
        </w:rPr>
        <w:t>года</w:t>
      </w:r>
      <w:r w:rsidRPr="005171B7">
        <w:rPr>
          <w:sz w:val="28"/>
          <w:szCs w:val="28"/>
        </w:rPr>
        <w:t xml:space="preserve"> прибыль прибыльных составила </w:t>
      </w:r>
      <w:r w:rsidR="00D132C4">
        <w:rPr>
          <w:sz w:val="28"/>
          <w:szCs w:val="28"/>
        </w:rPr>
        <w:t>943,4</w:t>
      </w:r>
      <w:r w:rsidRPr="005171B7">
        <w:rPr>
          <w:sz w:val="28"/>
          <w:szCs w:val="28"/>
        </w:rPr>
        <w:t xml:space="preserve"> млн. рублей), убыток</w:t>
      </w:r>
      <w:r w:rsidR="007B5006">
        <w:rPr>
          <w:sz w:val="28"/>
          <w:szCs w:val="28"/>
        </w:rPr>
        <w:t xml:space="preserve"> уб</w:t>
      </w:r>
      <w:r w:rsidR="000C7A52">
        <w:rPr>
          <w:sz w:val="28"/>
          <w:szCs w:val="28"/>
        </w:rPr>
        <w:t xml:space="preserve">ыточных предприятий составил </w:t>
      </w:r>
      <w:r w:rsidR="00D132C4">
        <w:rPr>
          <w:sz w:val="28"/>
          <w:szCs w:val="28"/>
        </w:rPr>
        <w:t xml:space="preserve">26,7 </w:t>
      </w:r>
      <w:r w:rsidRPr="005171B7">
        <w:rPr>
          <w:sz w:val="28"/>
          <w:szCs w:val="28"/>
        </w:rPr>
        <w:t xml:space="preserve"> млн. рублей</w:t>
      </w:r>
      <w:r w:rsidR="00A4722B">
        <w:rPr>
          <w:sz w:val="28"/>
          <w:szCs w:val="28"/>
        </w:rPr>
        <w:t xml:space="preserve"> </w:t>
      </w:r>
      <w:r w:rsidR="00D132C4">
        <w:rPr>
          <w:sz w:val="28"/>
          <w:szCs w:val="28"/>
        </w:rPr>
        <w:t xml:space="preserve">увеличился </w:t>
      </w:r>
      <w:r w:rsidR="000C7A52">
        <w:rPr>
          <w:sz w:val="28"/>
          <w:szCs w:val="28"/>
        </w:rPr>
        <w:t xml:space="preserve"> </w:t>
      </w:r>
      <w:r w:rsidR="00A4722B">
        <w:rPr>
          <w:sz w:val="28"/>
          <w:szCs w:val="28"/>
        </w:rPr>
        <w:t xml:space="preserve">на </w:t>
      </w:r>
      <w:r w:rsidR="003A4CBB">
        <w:rPr>
          <w:sz w:val="28"/>
          <w:szCs w:val="28"/>
        </w:rPr>
        <w:t>81,6</w:t>
      </w:r>
      <w:r w:rsidR="00D132C4">
        <w:rPr>
          <w:sz w:val="28"/>
          <w:szCs w:val="28"/>
        </w:rPr>
        <w:t xml:space="preserve"> </w:t>
      </w:r>
      <w:r w:rsidR="00A4722B">
        <w:rPr>
          <w:sz w:val="28"/>
          <w:szCs w:val="28"/>
        </w:rPr>
        <w:t>% (за аналогичный пери</w:t>
      </w:r>
      <w:r w:rsidR="00D132C4">
        <w:rPr>
          <w:sz w:val="28"/>
          <w:szCs w:val="28"/>
        </w:rPr>
        <w:t>од 2018</w:t>
      </w:r>
      <w:r w:rsidR="00A4722B">
        <w:rPr>
          <w:sz w:val="28"/>
          <w:szCs w:val="28"/>
        </w:rPr>
        <w:t xml:space="preserve"> года – </w:t>
      </w:r>
      <w:r w:rsidR="00D132C4">
        <w:rPr>
          <w:sz w:val="28"/>
          <w:szCs w:val="28"/>
        </w:rPr>
        <w:t>14,7</w:t>
      </w:r>
      <w:r w:rsidR="00CA240B">
        <w:rPr>
          <w:sz w:val="28"/>
          <w:szCs w:val="28"/>
        </w:rPr>
        <w:t xml:space="preserve"> </w:t>
      </w:r>
      <w:r w:rsidR="00A4722B">
        <w:rPr>
          <w:sz w:val="28"/>
          <w:szCs w:val="28"/>
        </w:rPr>
        <w:t>млн. руб.)</w:t>
      </w:r>
      <w:r w:rsidRPr="005171B7">
        <w:rPr>
          <w:sz w:val="28"/>
          <w:szCs w:val="28"/>
        </w:rPr>
        <w:t xml:space="preserve">. </w:t>
      </w:r>
    </w:p>
    <w:p w:rsidR="00A1261D" w:rsidRPr="005171B7" w:rsidRDefault="00A1261D" w:rsidP="00EE1126">
      <w:pPr>
        <w:spacing w:line="276" w:lineRule="auto"/>
        <w:ind w:firstLine="720"/>
        <w:jc w:val="both"/>
        <w:rPr>
          <w:sz w:val="16"/>
          <w:szCs w:val="16"/>
        </w:rPr>
      </w:pPr>
    </w:p>
    <w:p w:rsidR="00A1261D" w:rsidRDefault="009C2FF3">
      <w:pPr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9300" cy="24003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A1261D" w:rsidRPr="005171B7">
        <w:rPr>
          <w:sz w:val="28"/>
          <w:szCs w:val="28"/>
        </w:rPr>
        <w:tab/>
        <w:t>С прибылью сработали следующие предприятия:</w:t>
      </w:r>
    </w:p>
    <w:p w:rsidR="00B41D11" w:rsidRPr="005171B7" w:rsidRDefault="00B41D11" w:rsidP="00B41D11">
      <w:pPr>
        <w:ind w:firstLine="720"/>
        <w:jc w:val="both"/>
        <w:rPr>
          <w:sz w:val="28"/>
          <w:szCs w:val="28"/>
        </w:rPr>
      </w:pPr>
      <w:r w:rsidRPr="00D32147">
        <w:rPr>
          <w:sz w:val="28"/>
          <w:szCs w:val="28"/>
        </w:rPr>
        <w:t>АО «Кыштымский медеэлектролитный завод»;</w:t>
      </w:r>
    </w:p>
    <w:p w:rsidR="00D32147" w:rsidRDefault="00A62BCC" w:rsidP="00A62BCC">
      <w:pPr>
        <w:ind w:firstLine="720"/>
        <w:jc w:val="both"/>
      </w:pPr>
      <w:r w:rsidRPr="005171B7">
        <w:rPr>
          <w:sz w:val="28"/>
          <w:szCs w:val="28"/>
        </w:rPr>
        <w:t>АО «Кыштымское машиностроительное объединение»;</w:t>
      </w:r>
      <w:r w:rsidR="00D32147" w:rsidRPr="00D32147">
        <w:t xml:space="preserve"> </w:t>
      </w:r>
    </w:p>
    <w:p w:rsidR="000205AB" w:rsidRPr="005171B7" w:rsidRDefault="000205AB">
      <w:pPr>
        <w:ind w:firstLine="720"/>
        <w:jc w:val="both"/>
        <w:rPr>
          <w:sz w:val="28"/>
          <w:szCs w:val="28"/>
        </w:rPr>
      </w:pPr>
      <w:r w:rsidRPr="005171B7">
        <w:rPr>
          <w:sz w:val="28"/>
          <w:szCs w:val="28"/>
        </w:rPr>
        <w:t>АО «Радиозавод»;</w:t>
      </w:r>
    </w:p>
    <w:p w:rsidR="007A5C21" w:rsidRPr="005171B7" w:rsidRDefault="007A5C21">
      <w:pPr>
        <w:ind w:firstLine="720"/>
        <w:jc w:val="both"/>
        <w:rPr>
          <w:sz w:val="28"/>
          <w:szCs w:val="28"/>
        </w:rPr>
      </w:pPr>
      <w:r w:rsidRPr="005171B7">
        <w:rPr>
          <w:sz w:val="28"/>
          <w:szCs w:val="28"/>
        </w:rPr>
        <w:t>ООО «Русские пряники»;</w:t>
      </w:r>
    </w:p>
    <w:p w:rsidR="00A1261D" w:rsidRPr="005171B7" w:rsidRDefault="00E51942">
      <w:pPr>
        <w:ind w:firstLine="720"/>
        <w:jc w:val="both"/>
        <w:rPr>
          <w:sz w:val="28"/>
          <w:szCs w:val="28"/>
        </w:rPr>
      </w:pPr>
      <w:r w:rsidRPr="005171B7">
        <w:rPr>
          <w:sz w:val="28"/>
          <w:szCs w:val="28"/>
        </w:rPr>
        <w:t>ООО «Стекландия»</w:t>
      </w:r>
      <w:r w:rsidR="00A1261D" w:rsidRPr="005171B7">
        <w:rPr>
          <w:sz w:val="28"/>
          <w:szCs w:val="28"/>
        </w:rPr>
        <w:t>;</w:t>
      </w:r>
    </w:p>
    <w:p w:rsidR="00A30417" w:rsidRDefault="00A30417" w:rsidP="00A30417">
      <w:pPr>
        <w:ind w:firstLine="720"/>
        <w:rPr>
          <w:sz w:val="28"/>
          <w:szCs w:val="28"/>
        </w:rPr>
      </w:pPr>
      <w:r w:rsidRPr="005171B7">
        <w:rPr>
          <w:sz w:val="28"/>
          <w:szCs w:val="28"/>
        </w:rPr>
        <w:t>ООО «Ремсервис»;</w:t>
      </w:r>
    </w:p>
    <w:p w:rsidR="00B41D11" w:rsidRDefault="00B41D11" w:rsidP="00B41D11">
      <w:pPr>
        <w:ind w:firstLine="720"/>
        <w:jc w:val="both"/>
        <w:rPr>
          <w:sz w:val="28"/>
          <w:szCs w:val="28"/>
        </w:rPr>
      </w:pPr>
      <w:r w:rsidRPr="008539D1">
        <w:rPr>
          <w:sz w:val="28"/>
          <w:szCs w:val="28"/>
        </w:rPr>
        <w:t>ООО «Тайгинский ГОК»;</w:t>
      </w:r>
    </w:p>
    <w:p w:rsidR="00B41D11" w:rsidRPr="005171B7" w:rsidRDefault="00B41D11" w:rsidP="00A3041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ООО «КЭМЗ»;</w:t>
      </w:r>
    </w:p>
    <w:p w:rsidR="00A30417" w:rsidRDefault="00D32147" w:rsidP="00B41D1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МП КГО «Многопрофильное предприятие»</w:t>
      </w:r>
      <w:r w:rsidR="00B41D11">
        <w:rPr>
          <w:sz w:val="28"/>
          <w:szCs w:val="28"/>
        </w:rPr>
        <w:t>.</w:t>
      </w:r>
    </w:p>
    <w:p w:rsidR="00B41D11" w:rsidRDefault="00B41D11" w:rsidP="00B41D11">
      <w:pPr>
        <w:ind w:firstLine="720"/>
        <w:rPr>
          <w:sz w:val="28"/>
          <w:szCs w:val="28"/>
        </w:rPr>
      </w:pPr>
    </w:p>
    <w:p w:rsidR="00A1261D" w:rsidRPr="005171B7" w:rsidRDefault="00A1261D">
      <w:pPr>
        <w:ind w:firstLine="720"/>
        <w:jc w:val="both"/>
        <w:rPr>
          <w:sz w:val="28"/>
          <w:szCs w:val="28"/>
        </w:rPr>
      </w:pPr>
      <w:r w:rsidRPr="005171B7">
        <w:rPr>
          <w:sz w:val="28"/>
          <w:szCs w:val="28"/>
        </w:rPr>
        <w:t>Общий убыток уб</w:t>
      </w:r>
      <w:r w:rsidR="007A5C21" w:rsidRPr="005171B7">
        <w:rPr>
          <w:sz w:val="28"/>
          <w:szCs w:val="28"/>
        </w:rPr>
        <w:t xml:space="preserve">ыточных предприятий составил – </w:t>
      </w:r>
      <w:r w:rsidR="00CB58F5">
        <w:rPr>
          <w:sz w:val="28"/>
          <w:szCs w:val="28"/>
        </w:rPr>
        <w:t>26</w:t>
      </w:r>
      <w:r w:rsidR="00DF7224">
        <w:rPr>
          <w:sz w:val="28"/>
          <w:szCs w:val="28"/>
        </w:rPr>
        <w:t>,7</w:t>
      </w:r>
      <w:r w:rsidRPr="005171B7">
        <w:rPr>
          <w:sz w:val="28"/>
          <w:szCs w:val="28"/>
        </w:rPr>
        <w:t xml:space="preserve"> млн. рублей, что</w:t>
      </w:r>
      <w:r w:rsidR="00D849B5" w:rsidRPr="005171B7">
        <w:rPr>
          <w:sz w:val="28"/>
          <w:szCs w:val="28"/>
        </w:rPr>
        <w:t xml:space="preserve"> </w:t>
      </w:r>
      <w:r w:rsidR="00CB58F5">
        <w:rPr>
          <w:sz w:val="28"/>
          <w:szCs w:val="28"/>
        </w:rPr>
        <w:t xml:space="preserve">выше </w:t>
      </w:r>
      <w:r w:rsidRPr="005171B7">
        <w:rPr>
          <w:sz w:val="28"/>
          <w:szCs w:val="28"/>
        </w:rPr>
        <w:t>уровн</w:t>
      </w:r>
      <w:r w:rsidR="00235C00" w:rsidRPr="005171B7">
        <w:rPr>
          <w:sz w:val="28"/>
          <w:szCs w:val="28"/>
        </w:rPr>
        <w:t>я</w:t>
      </w:r>
      <w:r w:rsidRPr="005171B7">
        <w:rPr>
          <w:sz w:val="28"/>
          <w:szCs w:val="28"/>
        </w:rPr>
        <w:t xml:space="preserve"> </w:t>
      </w:r>
      <w:r w:rsidR="00D849B5" w:rsidRPr="005171B7">
        <w:rPr>
          <w:sz w:val="28"/>
          <w:szCs w:val="28"/>
        </w:rPr>
        <w:t xml:space="preserve">аналогичного периода </w:t>
      </w:r>
      <w:r w:rsidRPr="005171B7">
        <w:rPr>
          <w:sz w:val="28"/>
          <w:szCs w:val="28"/>
        </w:rPr>
        <w:t xml:space="preserve">прошлого года </w:t>
      </w:r>
      <w:r w:rsidR="00235C00" w:rsidRPr="005171B7">
        <w:rPr>
          <w:sz w:val="28"/>
          <w:szCs w:val="28"/>
        </w:rPr>
        <w:t xml:space="preserve">на </w:t>
      </w:r>
      <w:r w:rsidR="003A4CBB">
        <w:rPr>
          <w:sz w:val="28"/>
          <w:szCs w:val="28"/>
        </w:rPr>
        <w:t>81,6</w:t>
      </w:r>
      <w:r w:rsidR="00235C00" w:rsidRPr="005171B7">
        <w:rPr>
          <w:sz w:val="28"/>
          <w:szCs w:val="28"/>
        </w:rPr>
        <w:t>%</w:t>
      </w:r>
      <w:r w:rsidRPr="005171B7">
        <w:rPr>
          <w:sz w:val="28"/>
          <w:szCs w:val="28"/>
        </w:rPr>
        <w:t xml:space="preserve">. </w:t>
      </w:r>
    </w:p>
    <w:p w:rsidR="00A1261D" w:rsidRDefault="00A1261D">
      <w:pPr>
        <w:ind w:firstLine="720"/>
        <w:jc w:val="both"/>
        <w:rPr>
          <w:sz w:val="28"/>
          <w:szCs w:val="28"/>
        </w:rPr>
      </w:pPr>
      <w:r w:rsidRPr="005171B7">
        <w:rPr>
          <w:sz w:val="28"/>
          <w:szCs w:val="28"/>
        </w:rPr>
        <w:t>Убыток допущен на следующих предприятиях:</w:t>
      </w:r>
    </w:p>
    <w:p w:rsidR="00A62BCC" w:rsidRPr="005171B7" w:rsidRDefault="00A62BCC" w:rsidP="00A62BCC">
      <w:pPr>
        <w:ind w:firstLine="720"/>
        <w:jc w:val="both"/>
        <w:rPr>
          <w:sz w:val="28"/>
          <w:szCs w:val="28"/>
        </w:rPr>
      </w:pPr>
      <w:r w:rsidRPr="005171B7">
        <w:rPr>
          <w:sz w:val="28"/>
          <w:szCs w:val="28"/>
        </w:rPr>
        <w:t>МУП КГО «Кыштымводоканал»;</w:t>
      </w:r>
    </w:p>
    <w:p w:rsidR="008539D1" w:rsidRDefault="00D32147" w:rsidP="00D32147">
      <w:r>
        <w:rPr>
          <w:sz w:val="28"/>
          <w:szCs w:val="28"/>
        </w:rPr>
        <w:t xml:space="preserve">          </w:t>
      </w:r>
      <w:r w:rsidR="00A30417" w:rsidRPr="005171B7">
        <w:rPr>
          <w:sz w:val="28"/>
          <w:szCs w:val="28"/>
        </w:rPr>
        <w:t>МКП «Дорсервис»</w:t>
      </w:r>
      <w:r w:rsidR="00CB13F8">
        <w:rPr>
          <w:sz w:val="28"/>
          <w:szCs w:val="28"/>
        </w:rPr>
        <w:t>;</w:t>
      </w:r>
      <w:r w:rsidR="008539D1" w:rsidRPr="008539D1">
        <w:t xml:space="preserve"> </w:t>
      </w:r>
    </w:p>
    <w:p w:rsidR="00CB13F8" w:rsidRDefault="00D132C4" w:rsidP="00D132C4">
      <w:pPr>
        <w:ind w:firstLine="720"/>
        <w:jc w:val="both"/>
        <w:rPr>
          <w:sz w:val="28"/>
          <w:szCs w:val="28"/>
        </w:rPr>
      </w:pPr>
      <w:r w:rsidRPr="008539D1">
        <w:rPr>
          <w:sz w:val="28"/>
          <w:szCs w:val="28"/>
        </w:rPr>
        <w:t>ООО «Русский кварц»;</w:t>
      </w:r>
    </w:p>
    <w:p w:rsidR="00B94A94" w:rsidRPr="005171B7" w:rsidRDefault="00CB13F8" w:rsidP="00D321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13F8">
        <w:t xml:space="preserve"> </w:t>
      </w:r>
      <w:r w:rsidRPr="00CB13F8">
        <w:rPr>
          <w:sz w:val="28"/>
          <w:szCs w:val="28"/>
        </w:rPr>
        <w:t>Санаторий «Дальняя Дача».</w:t>
      </w:r>
    </w:p>
    <w:p w:rsidR="00B94A94" w:rsidRPr="008303B6" w:rsidRDefault="00B94A94" w:rsidP="00BE5074">
      <w:pPr>
        <w:ind w:firstLine="720"/>
        <w:jc w:val="center"/>
        <w:rPr>
          <w:b/>
          <w:sz w:val="16"/>
          <w:szCs w:val="16"/>
        </w:rPr>
      </w:pPr>
    </w:p>
    <w:p w:rsidR="00926A29" w:rsidRDefault="00926A29" w:rsidP="00BE5074">
      <w:pPr>
        <w:ind w:firstLine="720"/>
        <w:jc w:val="center"/>
        <w:rPr>
          <w:b/>
          <w:sz w:val="28"/>
          <w:szCs w:val="28"/>
        </w:rPr>
      </w:pPr>
    </w:p>
    <w:p w:rsidR="00D132C4" w:rsidRPr="008539D1" w:rsidRDefault="00D132C4" w:rsidP="00D132C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26A29" w:rsidRDefault="00926A29" w:rsidP="00D132C4">
      <w:pPr>
        <w:tabs>
          <w:tab w:val="left" w:pos="2535"/>
        </w:tabs>
        <w:ind w:firstLine="720"/>
        <w:rPr>
          <w:b/>
          <w:sz w:val="28"/>
          <w:szCs w:val="28"/>
        </w:rPr>
      </w:pPr>
    </w:p>
    <w:p w:rsidR="00926A29" w:rsidRDefault="00926A29" w:rsidP="00BE5074">
      <w:pPr>
        <w:ind w:firstLine="720"/>
        <w:jc w:val="center"/>
        <w:rPr>
          <w:b/>
          <w:sz w:val="28"/>
          <w:szCs w:val="28"/>
        </w:rPr>
      </w:pPr>
    </w:p>
    <w:p w:rsidR="00926A29" w:rsidRDefault="00926A29" w:rsidP="00BE5074">
      <w:pPr>
        <w:ind w:firstLine="720"/>
        <w:jc w:val="center"/>
        <w:rPr>
          <w:b/>
          <w:sz w:val="28"/>
          <w:szCs w:val="28"/>
        </w:rPr>
      </w:pPr>
    </w:p>
    <w:p w:rsidR="00926A29" w:rsidRDefault="00926A29" w:rsidP="00BE5074">
      <w:pPr>
        <w:ind w:firstLine="720"/>
        <w:jc w:val="center"/>
        <w:rPr>
          <w:b/>
          <w:sz w:val="28"/>
          <w:szCs w:val="28"/>
        </w:rPr>
      </w:pPr>
    </w:p>
    <w:p w:rsidR="00926A29" w:rsidRDefault="00926A29" w:rsidP="00BE5074">
      <w:pPr>
        <w:ind w:firstLine="720"/>
        <w:jc w:val="center"/>
        <w:rPr>
          <w:b/>
          <w:sz w:val="28"/>
          <w:szCs w:val="28"/>
        </w:rPr>
      </w:pPr>
    </w:p>
    <w:p w:rsidR="00926A29" w:rsidRDefault="00926A29" w:rsidP="00BE5074">
      <w:pPr>
        <w:ind w:firstLine="720"/>
        <w:jc w:val="center"/>
        <w:rPr>
          <w:b/>
          <w:sz w:val="28"/>
          <w:szCs w:val="28"/>
        </w:rPr>
      </w:pPr>
    </w:p>
    <w:p w:rsidR="00B41D11" w:rsidRDefault="00B41D11" w:rsidP="00BE5074">
      <w:pPr>
        <w:ind w:firstLine="720"/>
        <w:jc w:val="center"/>
        <w:rPr>
          <w:b/>
          <w:sz w:val="28"/>
          <w:szCs w:val="28"/>
        </w:rPr>
      </w:pPr>
    </w:p>
    <w:p w:rsidR="00B41D11" w:rsidRDefault="00B41D11" w:rsidP="00BE5074">
      <w:pPr>
        <w:ind w:firstLine="720"/>
        <w:jc w:val="center"/>
        <w:rPr>
          <w:b/>
          <w:sz w:val="28"/>
          <w:szCs w:val="28"/>
        </w:rPr>
      </w:pPr>
    </w:p>
    <w:p w:rsidR="00926A29" w:rsidRDefault="00926A29" w:rsidP="00BE5074">
      <w:pPr>
        <w:ind w:firstLine="720"/>
        <w:jc w:val="center"/>
        <w:rPr>
          <w:b/>
          <w:sz w:val="28"/>
          <w:szCs w:val="28"/>
        </w:rPr>
      </w:pPr>
    </w:p>
    <w:p w:rsidR="00BE5074" w:rsidRPr="008303B6" w:rsidRDefault="001F411A" w:rsidP="00BE507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E5074" w:rsidRPr="008303B6">
        <w:rPr>
          <w:b/>
          <w:sz w:val="28"/>
          <w:szCs w:val="28"/>
        </w:rPr>
        <w:t>. Ввод жилья в эксплуатацию</w:t>
      </w:r>
    </w:p>
    <w:p w:rsidR="00BE5074" w:rsidRDefault="00BE5074" w:rsidP="00BE5074">
      <w:pPr>
        <w:ind w:firstLine="720"/>
        <w:jc w:val="both"/>
        <w:rPr>
          <w:sz w:val="28"/>
          <w:szCs w:val="28"/>
        </w:rPr>
      </w:pPr>
      <w:r w:rsidRPr="008303B6">
        <w:rPr>
          <w:sz w:val="28"/>
          <w:szCs w:val="28"/>
        </w:rPr>
        <w:t xml:space="preserve">За </w:t>
      </w:r>
      <w:r w:rsidR="00A52A7A">
        <w:rPr>
          <w:sz w:val="28"/>
          <w:szCs w:val="28"/>
        </w:rPr>
        <w:t xml:space="preserve">1 </w:t>
      </w:r>
      <w:r w:rsidR="00E14A2D">
        <w:rPr>
          <w:sz w:val="28"/>
          <w:szCs w:val="28"/>
        </w:rPr>
        <w:t>полугодие</w:t>
      </w:r>
      <w:r w:rsidR="00255877">
        <w:rPr>
          <w:sz w:val="28"/>
          <w:szCs w:val="28"/>
        </w:rPr>
        <w:t xml:space="preserve"> 2019</w:t>
      </w:r>
      <w:r w:rsidRPr="005171B7">
        <w:rPr>
          <w:sz w:val="28"/>
          <w:szCs w:val="28"/>
        </w:rPr>
        <w:t xml:space="preserve"> год</w:t>
      </w:r>
      <w:r w:rsidR="00197BDE">
        <w:rPr>
          <w:sz w:val="28"/>
          <w:szCs w:val="28"/>
        </w:rPr>
        <w:t>а</w:t>
      </w:r>
      <w:r w:rsidRPr="005171B7">
        <w:rPr>
          <w:sz w:val="28"/>
          <w:szCs w:val="28"/>
        </w:rPr>
        <w:t xml:space="preserve"> введено в действие </w:t>
      </w:r>
      <w:r w:rsidR="00255877">
        <w:rPr>
          <w:sz w:val="28"/>
          <w:szCs w:val="28"/>
        </w:rPr>
        <w:t>13336</w:t>
      </w:r>
      <w:r w:rsidR="00760E9C">
        <w:rPr>
          <w:sz w:val="28"/>
          <w:szCs w:val="28"/>
        </w:rPr>
        <w:t xml:space="preserve"> </w:t>
      </w:r>
      <w:r w:rsidRPr="005171B7">
        <w:rPr>
          <w:sz w:val="28"/>
          <w:szCs w:val="28"/>
        </w:rPr>
        <w:t xml:space="preserve">м² жилья, </w:t>
      </w:r>
      <w:r w:rsidR="00B94A94" w:rsidRPr="005171B7">
        <w:rPr>
          <w:sz w:val="28"/>
          <w:szCs w:val="28"/>
        </w:rPr>
        <w:t>к</w:t>
      </w:r>
      <w:r w:rsidRPr="005171B7">
        <w:rPr>
          <w:sz w:val="28"/>
          <w:szCs w:val="28"/>
        </w:rPr>
        <w:t xml:space="preserve"> уров</w:t>
      </w:r>
      <w:r w:rsidR="003537A5">
        <w:rPr>
          <w:sz w:val="28"/>
          <w:szCs w:val="28"/>
        </w:rPr>
        <w:t>ню соответствующ</w:t>
      </w:r>
      <w:r w:rsidR="00255877">
        <w:rPr>
          <w:sz w:val="28"/>
          <w:szCs w:val="28"/>
        </w:rPr>
        <w:t>его периода 2018</w:t>
      </w:r>
      <w:r w:rsidRPr="005171B7">
        <w:rPr>
          <w:sz w:val="28"/>
          <w:szCs w:val="28"/>
        </w:rPr>
        <w:t xml:space="preserve"> года произош</w:t>
      </w:r>
      <w:r w:rsidR="003537A5">
        <w:rPr>
          <w:sz w:val="28"/>
          <w:szCs w:val="28"/>
        </w:rPr>
        <w:t>ло</w:t>
      </w:r>
      <w:r w:rsidR="00255877">
        <w:rPr>
          <w:sz w:val="28"/>
          <w:szCs w:val="28"/>
        </w:rPr>
        <w:t xml:space="preserve"> увеличение </w:t>
      </w:r>
      <w:r w:rsidR="002511EC">
        <w:rPr>
          <w:sz w:val="28"/>
          <w:szCs w:val="28"/>
        </w:rPr>
        <w:t xml:space="preserve"> в </w:t>
      </w:r>
      <w:r w:rsidR="003A4CBB">
        <w:rPr>
          <w:sz w:val="28"/>
          <w:szCs w:val="28"/>
        </w:rPr>
        <w:t>2,1</w:t>
      </w:r>
      <w:r w:rsidR="002511EC">
        <w:rPr>
          <w:sz w:val="28"/>
          <w:szCs w:val="28"/>
        </w:rPr>
        <w:t xml:space="preserve"> р</w:t>
      </w:r>
      <w:r w:rsidR="00E14A2D">
        <w:rPr>
          <w:sz w:val="28"/>
          <w:szCs w:val="28"/>
        </w:rPr>
        <w:t>.</w:t>
      </w:r>
    </w:p>
    <w:p w:rsidR="006B1209" w:rsidRPr="005171B7" w:rsidRDefault="009C2FF3" w:rsidP="00BE5074">
      <w:pPr>
        <w:ind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38850" cy="26384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D3313" w:rsidRPr="005171B7" w:rsidRDefault="001D3313" w:rsidP="00BE5074">
      <w:pPr>
        <w:ind w:firstLine="720"/>
        <w:jc w:val="both"/>
        <w:rPr>
          <w:b/>
          <w:sz w:val="16"/>
          <w:szCs w:val="16"/>
        </w:rPr>
      </w:pPr>
    </w:p>
    <w:p w:rsidR="00F9688C" w:rsidRDefault="00926A29" w:rsidP="00F9688C">
      <w:pPr>
        <w:tabs>
          <w:tab w:val="left" w:pos="5775"/>
        </w:tabs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</w:t>
      </w:r>
      <w:r w:rsidR="00D310E0">
        <w:rPr>
          <w:b/>
          <w:sz w:val="16"/>
          <w:szCs w:val="16"/>
        </w:rPr>
        <w:t xml:space="preserve">    </w:t>
      </w:r>
      <w:r w:rsidR="001F411A">
        <w:rPr>
          <w:b/>
          <w:sz w:val="28"/>
          <w:szCs w:val="28"/>
        </w:rPr>
        <w:t>4</w:t>
      </w:r>
      <w:r w:rsidR="00BE5074" w:rsidRPr="003E7FD5">
        <w:rPr>
          <w:b/>
          <w:sz w:val="28"/>
          <w:szCs w:val="28"/>
        </w:rPr>
        <w:t>. Грузооборот грузовых автомобилей</w:t>
      </w:r>
    </w:p>
    <w:p w:rsidR="00BE5074" w:rsidRPr="00F9688C" w:rsidRDefault="00F9688C" w:rsidP="00CA240B">
      <w:pPr>
        <w:tabs>
          <w:tab w:val="left" w:pos="57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E5074" w:rsidRPr="003E7FD5">
        <w:rPr>
          <w:sz w:val="28"/>
          <w:szCs w:val="28"/>
        </w:rPr>
        <w:t xml:space="preserve">Грузооборот грузовых автомобилей </w:t>
      </w:r>
      <w:r w:rsidR="005171B7" w:rsidRPr="003E7FD5">
        <w:rPr>
          <w:sz w:val="28"/>
          <w:szCs w:val="28"/>
        </w:rPr>
        <w:t xml:space="preserve">за </w:t>
      </w:r>
      <w:r w:rsidR="002511EC">
        <w:rPr>
          <w:sz w:val="28"/>
          <w:szCs w:val="28"/>
        </w:rPr>
        <w:t>6</w:t>
      </w:r>
      <w:r w:rsidR="00E35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месяцев </w:t>
      </w:r>
      <w:r w:rsidR="00E35CE0">
        <w:rPr>
          <w:sz w:val="28"/>
          <w:szCs w:val="28"/>
        </w:rPr>
        <w:t>201</w:t>
      </w:r>
      <w:r w:rsidR="002511EC">
        <w:rPr>
          <w:sz w:val="28"/>
          <w:szCs w:val="28"/>
        </w:rPr>
        <w:t>9</w:t>
      </w:r>
      <w:r w:rsidR="0033382C">
        <w:rPr>
          <w:sz w:val="28"/>
          <w:szCs w:val="28"/>
        </w:rPr>
        <w:t xml:space="preserve"> год</w:t>
      </w:r>
      <w:r w:rsidR="00197BDE">
        <w:rPr>
          <w:sz w:val="28"/>
          <w:szCs w:val="28"/>
        </w:rPr>
        <w:t>а</w:t>
      </w:r>
      <w:r w:rsidR="005171B7" w:rsidRPr="003E7FD5">
        <w:rPr>
          <w:sz w:val="28"/>
          <w:szCs w:val="28"/>
        </w:rPr>
        <w:t xml:space="preserve"> </w:t>
      </w:r>
      <w:r w:rsidR="00BE5074" w:rsidRPr="003E7FD5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0365DF">
        <w:rPr>
          <w:sz w:val="28"/>
          <w:szCs w:val="28"/>
        </w:rPr>
        <w:t>12673,6</w:t>
      </w:r>
      <w:r w:rsidR="00E35CE0">
        <w:rPr>
          <w:sz w:val="28"/>
          <w:szCs w:val="28"/>
        </w:rPr>
        <w:t xml:space="preserve"> </w:t>
      </w:r>
      <w:r w:rsidR="0033382C">
        <w:rPr>
          <w:sz w:val="28"/>
          <w:szCs w:val="28"/>
        </w:rPr>
        <w:t>тыс.т</w:t>
      </w:r>
      <w:r w:rsidR="00BE5074" w:rsidRPr="003E7FD5">
        <w:rPr>
          <w:sz w:val="28"/>
          <w:szCs w:val="28"/>
        </w:rPr>
        <w:t xml:space="preserve">км, что </w:t>
      </w:r>
      <w:r w:rsidR="000365DF">
        <w:rPr>
          <w:sz w:val="28"/>
          <w:szCs w:val="28"/>
        </w:rPr>
        <w:t>в 2 раза выше  уровня</w:t>
      </w:r>
      <w:r w:rsidR="00BE5074" w:rsidRPr="003E7FD5">
        <w:rPr>
          <w:sz w:val="28"/>
          <w:szCs w:val="28"/>
        </w:rPr>
        <w:t xml:space="preserve"> </w:t>
      </w:r>
      <w:r w:rsidR="00B94A94" w:rsidRPr="003E7FD5">
        <w:rPr>
          <w:sz w:val="28"/>
          <w:szCs w:val="28"/>
        </w:rPr>
        <w:t>аналогичного периода прошлого</w:t>
      </w:r>
      <w:r w:rsidR="00CA240B">
        <w:rPr>
          <w:sz w:val="28"/>
          <w:szCs w:val="28"/>
        </w:rPr>
        <w:t xml:space="preserve"> года </w:t>
      </w:r>
      <w:r w:rsidR="00BE5074" w:rsidRPr="003E7FD5">
        <w:rPr>
          <w:sz w:val="28"/>
          <w:szCs w:val="28"/>
        </w:rPr>
        <w:t xml:space="preserve"> </w:t>
      </w:r>
      <w:r w:rsidR="00CA240B" w:rsidRPr="005171B7">
        <w:rPr>
          <w:sz w:val="28"/>
          <w:szCs w:val="28"/>
        </w:rPr>
        <w:t xml:space="preserve">(за </w:t>
      </w:r>
      <w:r w:rsidR="00CA240B">
        <w:rPr>
          <w:sz w:val="28"/>
          <w:szCs w:val="28"/>
        </w:rPr>
        <w:t xml:space="preserve">аналогичный период 2018 </w:t>
      </w:r>
      <w:r w:rsidR="00CA240B" w:rsidRPr="005171B7">
        <w:rPr>
          <w:sz w:val="28"/>
          <w:szCs w:val="28"/>
        </w:rPr>
        <w:t>года</w:t>
      </w:r>
      <w:r w:rsidR="00CA240B">
        <w:rPr>
          <w:b/>
          <w:sz w:val="28"/>
          <w:szCs w:val="28"/>
        </w:rPr>
        <w:t xml:space="preserve">  </w:t>
      </w:r>
      <w:r w:rsidR="00CA240B" w:rsidRPr="00CA240B">
        <w:rPr>
          <w:sz w:val="28"/>
          <w:szCs w:val="28"/>
        </w:rPr>
        <w:t>г</w:t>
      </w:r>
      <w:r w:rsidR="00CA240B" w:rsidRPr="003E7FD5">
        <w:rPr>
          <w:sz w:val="28"/>
          <w:szCs w:val="28"/>
        </w:rPr>
        <w:t xml:space="preserve">рузооборот грузовых автомобилей </w:t>
      </w:r>
      <w:r w:rsidR="00CA240B" w:rsidRPr="005171B7">
        <w:rPr>
          <w:sz w:val="28"/>
          <w:szCs w:val="28"/>
        </w:rPr>
        <w:t xml:space="preserve">составил </w:t>
      </w:r>
      <w:r w:rsidR="00CA240B">
        <w:rPr>
          <w:sz w:val="28"/>
          <w:szCs w:val="28"/>
        </w:rPr>
        <w:t>6309,3 тыс.ткм</w:t>
      </w:r>
      <w:r w:rsidR="00CA240B" w:rsidRPr="005171B7">
        <w:rPr>
          <w:sz w:val="28"/>
          <w:szCs w:val="28"/>
        </w:rPr>
        <w:t>)</w:t>
      </w:r>
      <w:r w:rsidR="00CA240B">
        <w:rPr>
          <w:sz w:val="28"/>
          <w:szCs w:val="28"/>
        </w:rPr>
        <w:t>.</w:t>
      </w:r>
    </w:p>
    <w:p w:rsidR="00BE5074" w:rsidRPr="003E7FD5" w:rsidRDefault="00BE5074">
      <w:pPr>
        <w:ind w:firstLine="720"/>
        <w:jc w:val="center"/>
        <w:rPr>
          <w:b/>
          <w:sz w:val="16"/>
          <w:szCs w:val="16"/>
        </w:rPr>
      </w:pPr>
    </w:p>
    <w:p w:rsidR="00926A29" w:rsidRDefault="000504F7" w:rsidP="000504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26A29">
        <w:rPr>
          <w:b/>
          <w:sz w:val="28"/>
          <w:szCs w:val="28"/>
        </w:rPr>
        <w:t xml:space="preserve"> </w:t>
      </w:r>
    </w:p>
    <w:p w:rsidR="000504F7" w:rsidRDefault="000504F7" w:rsidP="000504F7">
      <w:pPr>
        <w:rPr>
          <w:b/>
          <w:sz w:val="28"/>
          <w:szCs w:val="28"/>
        </w:rPr>
      </w:pPr>
    </w:p>
    <w:p w:rsidR="00561FB7" w:rsidRPr="00760E9C" w:rsidRDefault="001F411A" w:rsidP="00561FB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61FB7" w:rsidRPr="00760E9C">
        <w:rPr>
          <w:b/>
          <w:sz w:val="28"/>
          <w:szCs w:val="28"/>
        </w:rPr>
        <w:t>. Среднесписочная численность работающих</w:t>
      </w:r>
    </w:p>
    <w:p w:rsidR="00561FB7" w:rsidRPr="00760E9C" w:rsidRDefault="00847C5D" w:rsidP="00561F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B5B70">
        <w:rPr>
          <w:sz w:val="28"/>
          <w:szCs w:val="28"/>
        </w:rPr>
        <w:t>1 полугодие 201</w:t>
      </w:r>
      <w:r w:rsidR="003A4CBB">
        <w:rPr>
          <w:sz w:val="28"/>
          <w:szCs w:val="28"/>
        </w:rPr>
        <w:t>9</w:t>
      </w:r>
      <w:r w:rsidR="009B5B70">
        <w:rPr>
          <w:sz w:val="28"/>
          <w:szCs w:val="28"/>
        </w:rPr>
        <w:t xml:space="preserve"> г</w:t>
      </w:r>
      <w:r w:rsidR="00AF3B4B" w:rsidRPr="00760E9C">
        <w:rPr>
          <w:sz w:val="28"/>
          <w:szCs w:val="28"/>
        </w:rPr>
        <w:t>од</w:t>
      </w:r>
      <w:r w:rsidR="00197BDE">
        <w:rPr>
          <w:sz w:val="28"/>
          <w:szCs w:val="28"/>
        </w:rPr>
        <w:t>а</w:t>
      </w:r>
      <w:r w:rsidR="00561FB7" w:rsidRPr="00760E9C">
        <w:rPr>
          <w:sz w:val="28"/>
          <w:szCs w:val="28"/>
        </w:rPr>
        <w:t xml:space="preserve"> среднесписочная численность работающих на крупных и средних предприятиях и о</w:t>
      </w:r>
      <w:r w:rsidR="00A1558B">
        <w:rPr>
          <w:sz w:val="28"/>
          <w:szCs w:val="28"/>
        </w:rPr>
        <w:t>рг</w:t>
      </w:r>
      <w:r w:rsidR="00A52A7A">
        <w:rPr>
          <w:sz w:val="28"/>
          <w:szCs w:val="28"/>
        </w:rPr>
        <w:t>аниза</w:t>
      </w:r>
      <w:r w:rsidR="002511EC">
        <w:rPr>
          <w:sz w:val="28"/>
          <w:szCs w:val="28"/>
        </w:rPr>
        <w:t>циях города составляет  9984</w:t>
      </w:r>
      <w:r w:rsidR="00561FB7" w:rsidRPr="00760E9C">
        <w:rPr>
          <w:sz w:val="28"/>
          <w:szCs w:val="28"/>
        </w:rPr>
        <w:t xml:space="preserve"> человек</w:t>
      </w:r>
      <w:r w:rsidR="00A62BCC">
        <w:rPr>
          <w:sz w:val="28"/>
          <w:szCs w:val="28"/>
        </w:rPr>
        <w:t>а</w:t>
      </w:r>
      <w:r w:rsidR="00561FB7" w:rsidRPr="00760E9C">
        <w:rPr>
          <w:sz w:val="28"/>
          <w:szCs w:val="28"/>
        </w:rPr>
        <w:t xml:space="preserve">, что к уровню </w:t>
      </w:r>
      <w:r w:rsidR="00ED152C" w:rsidRPr="00760E9C">
        <w:rPr>
          <w:sz w:val="28"/>
          <w:szCs w:val="28"/>
        </w:rPr>
        <w:t xml:space="preserve">аналогичного периода прошлого </w:t>
      </w:r>
      <w:r w:rsidR="00561FB7" w:rsidRPr="00760E9C">
        <w:rPr>
          <w:sz w:val="28"/>
          <w:szCs w:val="28"/>
        </w:rPr>
        <w:t xml:space="preserve">года составляет </w:t>
      </w:r>
      <w:r w:rsidR="002511EC">
        <w:rPr>
          <w:sz w:val="28"/>
          <w:szCs w:val="28"/>
        </w:rPr>
        <w:t>99,7</w:t>
      </w:r>
      <w:r w:rsidR="00561FB7" w:rsidRPr="00760E9C">
        <w:rPr>
          <w:sz w:val="28"/>
          <w:szCs w:val="28"/>
        </w:rPr>
        <w:t xml:space="preserve">%. </w:t>
      </w:r>
    </w:p>
    <w:p w:rsidR="00926A29" w:rsidRDefault="00926A29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0504F7" w:rsidRDefault="009C2FF3" w:rsidP="0098344C">
      <w:pPr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6124575" cy="21526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04F7" w:rsidRDefault="000504F7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0504F7" w:rsidRDefault="000504F7" w:rsidP="0098344C">
      <w:pPr>
        <w:ind w:firstLine="540"/>
        <w:jc w:val="center"/>
      </w:pPr>
    </w:p>
    <w:p w:rsidR="00A1261D" w:rsidRPr="00760E9C" w:rsidRDefault="001F411A" w:rsidP="0098344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1261D" w:rsidRPr="00760E9C">
        <w:rPr>
          <w:b/>
          <w:sz w:val="28"/>
          <w:szCs w:val="28"/>
        </w:rPr>
        <w:t>. Среднемесячная заработная плата одного работающего</w:t>
      </w:r>
    </w:p>
    <w:p w:rsidR="00A1261D" w:rsidRPr="00760E9C" w:rsidRDefault="00081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B5B70">
        <w:rPr>
          <w:sz w:val="28"/>
          <w:szCs w:val="28"/>
        </w:rPr>
        <w:t>1 полугодие</w:t>
      </w:r>
      <w:r w:rsidR="001C7E23">
        <w:rPr>
          <w:sz w:val="28"/>
          <w:szCs w:val="28"/>
        </w:rPr>
        <w:t xml:space="preserve"> 201</w:t>
      </w:r>
      <w:r w:rsidR="00026936">
        <w:rPr>
          <w:sz w:val="28"/>
          <w:szCs w:val="28"/>
        </w:rPr>
        <w:t>9</w:t>
      </w:r>
      <w:r w:rsidR="00AF3B4B" w:rsidRPr="00760E9C">
        <w:rPr>
          <w:sz w:val="28"/>
          <w:szCs w:val="28"/>
        </w:rPr>
        <w:t xml:space="preserve"> год</w:t>
      </w:r>
      <w:r w:rsidR="00197BDE">
        <w:rPr>
          <w:sz w:val="28"/>
          <w:szCs w:val="28"/>
        </w:rPr>
        <w:t>а</w:t>
      </w:r>
      <w:r w:rsidR="00A1261D" w:rsidRPr="00760E9C">
        <w:rPr>
          <w:sz w:val="28"/>
          <w:szCs w:val="28"/>
        </w:rPr>
        <w:t xml:space="preserve"> среднемесячная заработная плата по крупным и средним предприятиям и организациям на одног</w:t>
      </w:r>
      <w:r w:rsidR="002E63E8" w:rsidRPr="00760E9C">
        <w:rPr>
          <w:sz w:val="28"/>
          <w:szCs w:val="28"/>
        </w:rPr>
        <w:t>о работающего составила</w:t>
      </w:r>
      <w:r w:rsidR="00CA240B">
        <w:rPr>
          <w:sz w:val="28"/>
          <w:szCs w:val="28"/>
        </w:rPr>
        <w:t xml:space="preserve"> </w:t>
      </w:r>
      <w:r w:rsidR="009D7B01">
        <w:rPr>
          <w:sz w:val="28"/>
          <w:szCs w:val="28"/>
        </w:rPr>
        <w:t xml:space="preserve"> 33376,1</w:t>
      </w:r>
      <w:r w:rsidR="007C79F8">
        <w:rPr>
          <w:sz w:val="28"/>
          <w:szCs w:val="28"/>
        </w:rPr>
        <w:t xml:space="preserve"> </w:t>
      </w:r>
      <w:r w:rsidR="00A1261D" w:rsidRPr="00760E9C">
        <w:rPr>
          <w:sz w:val="28"/>
          <w:szCs w:val="28"/>
        </w:rPr>
        <w:t>рубл</w:t>
      </w:r>
      <w:r w:rsidR="009B5B70">
        <w:rPr>
          <w:sz w:val="28"/>
          <w:szCs w:val="28"/>
        </w:rPr>
        <w:t>ей</w:t>
      </w:r>
      <w:r w:rsidR="007C79F8">
        <w:rPr>
          <w:sz w:val="28"/>
          <w:szCs w:val="28"/>
        </w:rPr>
        <w:t>, что выше</w:t>
      </w:r>
      <w:r w:rsidR="00A1261D" w:rsidRPr="00760E9C">
        <w:rPr>
          <w:sz w:val="28"/>
          <w:szCs w:val="28"/>
        </w:rPr>
        <w:t xml:space="preserve"> </w:t>
      </w:r>
      <w:r w:rsidR="0098344C" w:rsidRPr="00760E9C">
        <w:rPr>
          <w:sz w:val="28"/>
          <w:szCs w:val="28"/>
        </w:rPr>
        <w:t>уро</w:t>
      </w:r>
      <w:r w:rsidR="001C7E23">
        <w:rPr>
          <w:sz w:val="28"/>
          <w:szCs w:val="28"/>
        </w:rPr>
        <w:t>вня аналогичного периода 201</w:t>
      </w:r>
      <w:r w:rsidR="009D7B01">
        <w:rPr>
          <w:sz w:val="28"/>
          <w:szCs w:val="28"/>
        </w:rPr>
        <w:t>8</w:t>
      </w:r>
      <w:r w:rsidR="002E63E8" w:rsidRPr="00760E9C">
        <w:rPr>
          <w:sz w:val="28"/>
          <w:szCs w:val="28"/>
        </w:rPr>
        <w:t xml:space="preserve"> </w:t>
      </w:r>
      <w:r w:rsidR="00A1261D" w:rsidRPr="00760E9C">
        <w:rPr>
          <w:sz w:val="28"/>
          <w:szCs w:val="28"/>
        </w:rPr>
        <w:t xml:space="preserve">года на </w:t>
      </w:r>
      <w:r w:rsidR="009D7B01">
        <w:rPr>
          <w:sz w:val="28"/>
          <w:szCs w:val="28"/>
        </w:rPr>
        <w:t>5,3</w:t>
      </w:r>
      <w:r w:rsidR="00A1261D" w:rsidRPr="00760E9C">
        <w:rPr>
          <w:sz w:val="28"/>
          <w:szCs w:val="28"/>
        </w:rPr>
        <w:t xml:space="preserve">%. </w:t>
      </w:r>
    </w:p>
    <w:p w:rsidR="0098344C" w:rsidRPr="00FC0878" w:rsidRDefault="009C2FF3" w:rsidP="0098344C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4575" cy="23907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696B" w:rsidRPr="00FC0878" w:rsidRDefault="002C696B">
      <w:pPr>
        <w:ind w:firstLine="720"/>
        <w:jc w:val="center"/>
        <w:rPr>
          <w:b/>
          <w:sz w:val="28"/>
          <w:szCs w:val="28"/>
        </w:rPr>
      </w:pPr>
    </w:p>
    <w:p w:rsidR="00A1261D" w:rsidRPr="00FC0878" w:rsidRDefault="001F411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1261D" w:rsidRPr="00FC0878">
        <w:rPr>
          <w:b/>
          <w:sz w:val="28"/>
          <w:szCs w:val="28"/>
        </w:rPr>
        <w:t>. Уровень безработицы</w:t>
      </w:r>
    </w:p>
    <w:p w:rsidR="00A1261D" w:rsidRPr="00FC0878" w:rsidRDefault="002155F9" w:rsidP="00F247AE">
      <w:pPr>
        <w:ind w:firstLine="720"/>
        <w:jc w:val="both"/>
        <w:rPr>
          <w:sz w:val="28"/>
          <w:szCs w:val="28"/>
        </w:rPr>
      </w:pPr>
      <w:r w:rsidRPr="00FC0878">
        <w:rPr>
          <w:sz w:val="28"/>
          <w:szCs w:val="28"/>
        </w:rPr>
        <w:t>По состоянию на 01.</w:t>
      </w:r>
      <w:r w:rsidR="00D11FAF">
        <w:rPr>
          <w:sz w:val="28"/>
          <w:szCs w:val="28"/>
        </w:rPr>
        <w:t>07</w:t>
      </w:r>
      <w:r w:rsidR="00AB4439">
        <w:rPr>
          <w:sz w:val="28"/>
          <w:szCs w:val="28"/>
        </w:rPr>
        <w:t>.2019</w:t>
      </w:r>
      <w:r w:rsidR="00A1261D" w:rsidRPr="00FC0878">
        <w:rPr>
          <w:sz w:val="28"/>
          <w:szCs w:val="28"/>
        </w:rPr>
        <w:t xml:space="preserve"> года </w:t>
      </w:r>
      <w:r w:rsidR="00FC0878" w:rsidRPr="00FC0878">
        <w:rPr>
          <w:sz w:val="28"/>
          <w:szCs w:val="28"/>
        </w:rPr>
        <w:t>численность безработных граждан, состоящих на учете в Центре занятост</w:t>
      </w:r>
      <w:r w:rsidR="00D11FAF">
        <w:rPr>
          <w:sz w:val="28"/>
          <w:szCs w:val="28"/>
        </w:rPr>
        <w:t>и населения, составила 1</w:t>
      </w:r>
      <w:r w:rsidR="00AB4439">
        <w:rPr>
          <w:sz w:val="28"/>
          <w:szCs w:val="28"/>
        </w:rPr>
        <w:t>94</w:t>
      </w:r>
      <w:r w:rsidR="00FC0878" w:rsidRPr="00FC0878">
        <w:rPr>
          <w:sz w:val="28"/>
          <w:szCs w:val="28"/>
        </w:rPr>
        <w:t xml:space="preserve"> человек</w:t>
      </w:r>
      <w:r w:rsidR="00AB4439">
        <w:rPr>
          <w:sz w:val="28"/>
          <w:szCs w:val="28"/>
        </w:rPr>
        <w:t>а</w:t>
      </w:r>
      <w:r w:rsidR="00A1261D" w:rsidRPr="00FC0878">
        <w:rPr>
          <w:sz w:val="28"/>
          <w:szCs w:val="28"/>
        </w:rPr>
        <w:t xml:space="preserve">, что на </w:t>
      </w:r>
      <w:r w:rsidR="00AB4439">
        <w:rPr>
          <w:sz w:val="28"/>
          <w:szCs w:val="28"/>
        </w:rPr>
        <w:t>67</w:t>
      </w:r>
      <w:r w:rsidR="00A1261D" w:rsidRPr="00FC0878">
        <w:rPr>
          <w:sz w:val="28"/>
          <w:szCs w:val="28"/>
        </w:rPr>
        <w:t xml:space="preserve"> человек </w:t>
      </w:r>
      <w:r w:rsidR="00AB4439">
        <w:rPr>
          <w:sz w:val="28"/>
          <w:szCs w:val="28"/>
        </w:rPr>
        <w:t>больше</w:t>
      </w:r>
      <w:r w:rsidR="00A1261D" w:rsidRPr="00FC0878">
        <w:rPr>
          <w:sz w:val="28"/>
          <w:szCs w:val="28"/>
        </w:rPr>
        <w:t>, чем за соответствующий период прошлого года. Ур</w:t>
      </w:r>
      <w:r w:rsidRPr="00FC0878">
        <w:rPr>
          <w:sz w:val="28"/>
          <w:szCs w:val="28"/>
        </w:rPr>
        <w:t>овень</w:t>
      </w:r>
      <w:r w:rsidR="00C42312">
        <w:rPr>
          <w:sz w:val="28"/>
          <w:szCs w:val="28"/>
        </w:rPr>
        <w:t xml:space="preserve"> зарегистрированной</w:t>
      </w:r>
      <w:r w:rsidRPr="00FC0878">
        <w:rPr>
          <w:sz w:val="28"/>
          <w:szCs w:val="28"/>
        </w:rPr>
        <w:t xml:space="preserve"> безработицы с</w:t>
      </w:r>
      <w:r w:rsidR="00AB4439">
        <w:rPr>
          <w:sz w:val="28"/>
          <w:szCs w:val="28"/>
        </w:rPr>
        <w:t>оставляет 1,0</w:t>
      </w:r>
      <w:r w:rsidR="00A1261D" w:rsidRPr="00FC0878">
        <w:rPr>
          <w:sz w:val="28"/>
          <w:szCs w:val="28"/>
        </w:rPr>
        <w:t>%</w:t>
      </w:r>
      <w:r w:rsidR="005D432C" w:rsidRPr="00FC0878">
        <w:rPr>
          <w:sz w:val="28"/>
          <w:szCs w:val="28"/>
        </w:rPr>
        <w:t xml:space="preserve">, что на </w:t>
      </w:r>
      <w:r w:rsidR="005041D8" w:rsidRPr="00FC0878">
        <w:rPr>
          <w:sz w:val="28"/>
          <w:szCs w:val="28"/>
        </w:rPr>
        <w:t>0,</w:t>
      </w:r>
      <w:r w:rsidR="00AB4439">
        <w:rPr>
          <w:sz w:val="28"/>
          <w:szCs w:val="28"/>
        </w:rPr>
        <w:t>3</w:t>
      </w:r>
      <w:r w:rsidR="00D11FAF">
        <w:rPr>
          <w:sz w:val="28"/>
          <w:szCs w:val="28"/>
        </w:rPr>
        <w:t>7</w:t>
      </w:r>
      <w:r w:rsidR="005041D8" w:rsidRPr="00FC0878">
        <w:rPr>
          <w:sz w:val="28"/>
          <w:szCs w:val="28"/>
        </w:rPr>
        <w:t xml:space="preserve">% </w:t>
      </w:r>
      <w:r w:rsidR="00AB4439">
        <w:rPr>
          <w:sz w:val="28"/>
          <w:szCs w:val="28"/>
        </w:rPr>
        <w:t xml:space="preserve">выше </w:t>
      </w:r>
      <w:r w:rsidR="005D432C" w:rsidRPr="00FC0878">
        <w:rPr>
          <w:sz w:val="28"/>
          <w:szCs w:val="28"/>
        </w:rPr>
        <w:t>уро</w:t>
      </w:r>
      <w:r w:rsidR="005041D8" w:rsidRPr="00FC0878">
        <w:rPr>
          <w:sz w:val="28"/>
          <w:szCs w:val="28"/>
        </w:rPr>
        <w:t>вня</w:t>
      </w:r>
      <w:r w:rsidR="005D432C" w:rsidRPr="00FC0878">
        <w:rPr>
          <w:sz w:val="28"/>
          <w:szCs w:val="28"/>
        </w:rPr>
        <w:t xml:space="preserve"> показателя </w:t>
      </w:r>
      <w:r w:rsidR="005041D8" w:rsidRPr="00FC0878">
        <w:rPr>
          <w:sz w:val="28"/>
          <w:szCs w:val="28"/>
        </w:rPr>
        <w:t xml:space="preserve">аналогичного периода </w:t>
      </w:r>
      <w:r w:rsidR="002963F1" w:rsidRPr="00FC0878">
        <w:rPr>
          <w:sz w:val="28"/>
          <w:szCs w:val="28"/>
        </w:rPr>
        <w:t>прошло</w:t>
      </w:r>
      <w:r w:rsidR="005D432C" w:rsidRPr="00FC0878">
        <w:rPr>
          <w:sz w:val="28"/>
          <w:szCs w:val="28"/>
        </w:rPr>
        <w:t>го</w:t>
      </w:r>
      <w:r w:rsidR="002963F1" w:rsidRPr="00FC0878">
        <w:rPr>
          <w:sz w:val="28"/>
          <w:szCs w:val="28"/>
        </w:rPr>
        <w:t xml:space="preserve"> года.</w:t>
      </w:r>
    </w:p>
    <w:p w:rsidR="00A1261D" w:rsidRPr="00760E9C" w:rsidRDefault="00A1261D">
      <w:pPr>
        <w:ind w:firstLine="720"/>
        <w:jc w:val="center"/>
        <w:rPr>
          <w:b/>
          <w:color w:val="008080"/>
          <w:sz w:val="16"/>
          <w:szCs w:val="16"/>
        </w:rPr>
      </w:pPr>
    </w:p>
    <w:p w:rsidR="00926A29" w:rsidRDefault="00926A29" w:rsidP="00926A29">
      <w:pPr>
        <w:ind w:firstLine="540"/>
        <w:rPr>
          <w:b/>
          <w:sz w:val="28"/>
          <w:szCs w:val="28"/>
        </w:rPr>
      </w:pPr>
    </w:p>
    <w:p w:rsidR="00BE4EB7" w:rsidRPr="00FC0878" w:rsidRDefault="001F411A" w:rsidP="00BE4E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0150D" w:rsidRPr="00FC0878">
        <w:rPr>
          <w:b/>
          <w:sz w:val="28"/>
          <w:szCs w:val="28"/>
        </w:rPr>
        <w:t xml:space="preserve">. </w:t>
      </w:r>
      <w:r w:rsidR="00BE4EB7" w:rsidRPr="00FC0878">
        <w:rPr>
          <w:b/>
          <w:sz w:val="28"/>
          <w:szCs w:val="28"/>
        </w:rPr>
        <w:t>Социальные показатели</w:t>
      </w:r>
    </w:p>
    <w:p w:rsidR="00BE4EB7" w:rsidRPr="00FC0878" w:rsidRDefault="00BE4EB7" w:rsidP="00352548">
      <w:pPr>
        <w:ind w:firstLine="709"/>
        <w:jc w:val="both"/>
        <w:rPr>
          <w:b/>
          <w:sz w:val="28"/>
          <w:szCs w:val="28"/>
        </w:rPr>
      </w:pPr>
      <w:r w:rsidRPr="00FC0878">
        <w:rPr>
          <w:sz w:val="28"/>
          <w:szCs w:val="28"/>
        </w:rPr>
        <w:t xml:space="preserve">Социальные показатели: рождаемость, смертность, другие представлены в таблице </w:t>
      </w:r>
      <w:r w:rsidR="000232F8">
        <w:rPr>
          <w:sz w:val="28"/>
          <w:szCs w:val="28"/>
        </w:rPr>
        <w:t>3</w:t>
      </w:r>
      <w:r w:rsidRPr="00FC0878">
        <w:rPr>
          <w:sz w:val="28"/>
          <w:szCs w:val="28"/>
        </w:rPr>
        <w:t xml:space="preserve">. </w:t>
      </w:r>
    </w:p>
    <w:p w:rsidR="00BE4EB7" w:rsidRPr="00FC0878" w:rsidRDefault="00BE4EB7" w:rsidP="00BE4EB7">
      <w:pPr>
        <w:pStyle w:val="a5"/>
        <w:ind w:firstLine="540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sz w:val="28"/>
          <w:szCs w:val="28"/>
        </w:rPr>
        <w:t>Социальные показатели</w:t>
      </w:r>
    </w:p>
    <w:p w:rsidR="00BE4EB7" w:rsidRPr="00FC0878" w:rsidRDefault="00BE4EB7" w:rsidP="00BE4EB7">
      <w:pPr>
        <w:pStyle w:val="a5"/>
        <w:ind w:firstLine="540"/>
        <w:jc w:val="right"/>
        <w:rPr>
          <w:rFonts w:ascii="Times New Roman" w:hAnsi="Times New Roman"/>
          <w:sz w:val="28"/>
          <w:szCs w:val="28"/>
        </w:rPr>
      </w:pP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Pr="00FC0878">
        <w:rPr>
          <w:rFonts w:ascii="Times New Roman" w:hAnsi="Times New Roman"/>
          <w:b/>
          <w:sz w:val="28"/>
          <w:szCs w:val="28"/>
        </w:rPr>
        <w:tab/>
      </w:r>
      <w:r w:rsidR="000232F8">
        <w:rPr>
          <w:rFonts w:ascii="Times New Roman" w:hAnsi="Times New Roman"/>
          <w:sz w:val="28"/>
          <w:szCs w:val="28"/>
        </w:rPr>
        <w:t>таблица 3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6"/>
        <w:gridCol w:w="993"/>
        <w:gridCol w:w="1417"/>
        <w:gridCol w:w="1418"/>
        <w:gridCol w:w="1101"/>
        <w:gridCol w:w="2124"/>
      </w:tblGrid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5" w:rsidRDefault="000764B5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 1 </w:t>
            </w:r>
            <w:r w:rsidR="00D11FAF">
              <w:rPr>
                <w:rFonts w:ascii="Times New Roman" w:hAnsi="Times New Roman"/>
                <w:sz w:val="22"/>
                <w:szCs w:val="22"/>
              </w:rPr>
              <w:t>полугодие</w:t>
            </w:r>
          </w:p>
          <w:p w:rsidR="00BE4EB7" w:rsidRPr="00FC0878" w:rsidRDefault="00026936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r w:rsidR="00BE4EB7" w:rsidRPr="00FC087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5" w:rsidRDefault="000764B5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 1 </w:t>
            </w:r>
            <w:r w:rsidR="00D11FAF">
              <w:rPr>
                <w:rFonts w:ascii="Times New Roman" w:hAnsi="Times New Roman"/>
                <w:sz w:val="22"/>
                <w:szCs w:val="22"/>
              </w:rPr>
              <w:t>полугодие</w:t>
            </w:r>
          </w:p>
          <w:p w:rsidR="00BE4EB7" w:rsidRPr="00FC0878" w:rsidRDefault="00C152ED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026936">
              <w:rPr>
                <w:rFonts w:ascii="Times New Roman" w:hAnsi="Times New Roman"/>
                <w:sz w:val="22"/>
                <w:szCs w:val="22"/>
              </w:rPr>
              <w:t>8</w:t>
            </w:r>
            <w:r w:rsidR="00BE4EB7" w:rsidRPr="00FC087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 xml:space="preserve">□Число родившихся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026936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4E146B" w:rsidP="00D11F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0F7294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Рождаемость</w:t>
            </w:r>
            <w:r w:rsidR="00BE4EB7" w:rsidRPr="00FC0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0878">
              <w:rPr>
                <w:rFonts w:ascii="Times New Roman" w:hAnsi="Times New Roman"/>
                <w:sz w:val="22"/>
                <w:szCs w:val="22"/>
              </w:rPr>
              <w:t>населения  на 1000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026936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4E146B" w:rsidP="00D11F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в том числе мертворождённых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026936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4E146B" w:rsidP="00D11F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□Число умерших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026936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4E146B" w:rsidP="004E146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0F7294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Смертность населения на 1000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D11FAF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</w:t>
            </w:r>
            <w:r w:rsidR="0002693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661934" w:rsidP="00D11F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B7" w:rsidRPr="00FC0878" w:rsidTr="00C152ED">
        <w:trPr>
          <w:trHeight w:val="5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в том числе в возрасте до 1-го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026936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7A" w:rsidRPr="00FC0878" w:rsidRDefault="00661934" w:rsidP="00D11F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□Естественная убыль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C152ED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D11FAF">
              <w:rPr>
                <w:rFonts w:ascii="Times New Roman" w:hAnsi="Times New Roman"/>
                <w:sz w:val="22"/>
                <w:szCs w:val="22"/>
              </w:rPr>
              <w:t>13</w:t>
            </w:r>
            <w:r w:rsidR="0002693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661934" w:rsidP="00D11F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EB7" w:rsidRPr="00FC0878" w:rsidTr="00C152E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 xml:space="preserve">□Всего зарегистрировано преступлений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08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4E146B" w:rsidP="00C152ED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4E146B" w:rsidP="00347D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F9" w:rsidRPr="00FC0878" w:rsidRDefault="004E146B" w:rsidP="00D11FA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B7" w:rsidRPr="00FC0878" w:rsidRDefault="00BE4EB7" w:rsidP="00582832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E4EB7" w:rsidRPr="00FC0878" w:rsidRDefault="00BE4EB7">
      <w:pPr>
        <w:ind w:firstLine="720"/>
        <w:jc w:val="center"/>
        <w:rPr>
          <w:b/>
          <w:sz w:val="16"/>
          <w:szCs w:val="16"/>
        </w:rPr>
      </w:pPr>
    </w:p>
    <w:p w:rsidR="000504F7" w:rsidRDefault="000504F7">
      <w:pPr>
        <w:ind w:firstLine="720"/>
        <w:jc w:val="center"/>
        <w:rPr>
          <w:b/>
          <w:sz w:val="28"/>
          <w:szCs w:val="28"/>
        </w:rPr>
      </w:pPr>
    </w:p>
    <w:p w:rsidR="000504F7" w:rsidRDefault="000504F7">
      <w:pPr>
        <w:ind w:firstLine="720"/>
        <w:jc w:val="center"/>
        <w:rPr>
          <w:b/>
          <w:sz w:val="28"/>
          <w:szCs w:val="28"/>
        </w:rPr>
      </w:pPr>
    </w:p>
    <w:p w:rsidR="000504F7" w:rsidRDefault="000504F7">
      <w:pPr>
        <w:ind w:firstLine="720"/>
        <w:jc w:val="center"/>
        <w:rPr>
          <w:b/>
          <w:sz w:val="28"/>
          <w:szCs w:val="28"/>
        </w:rPr>
      </w:pPr>
    </w:p>
    <w:p w:rsidR="000504F7" w:rsidRDefault="000504F7">
      <w:pPr>
        <w:ind w:firstLine="720"/>
        <w:jc w:val="center"/>
        <w:rPr>
          <w:b/>
          <w:sz w:val="28"/>
          <w:szCs w:val="28"/>
        </w:rPr>
      </w:pPr>
    </w:p>
    <w:p w:rsidR="00B41D11" w:rsidRDefault="00B41D11">
      <w:pPr>
        <w:ind w:firstLine="720"/>
        <w:jc w:val="center"/>
        <w:rPr>
          <w:b/>
          <w:sz w:val="28"/>
          <w:szCs w:val="28"/>
        </w:rPr>
      </w:pPr>
    </w:p>
    <w:p w:rsidR="000504F7" w:rsidRDefault="000504F7">
      <w:pPr>
        <w:ind w:firstLine="720"/>
        <w:jc w:val="center"/>
        <w:rPr>
          <w:b/>
          <w:sz w:val="28"/>
          <w:szCs w:val="28"/>
        </w:rPr>
      </w:pPr>
    </w:p>
    <w:p w:rsidR="00A1261D" w:rsidRPr="00FC0878" w:rsidRDefault="004E71B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A1261D" w:rsidRPr="00FC0878">
        <w:rPr>
          <w:b/>
          <w:sz w:val="28"/>
          <w:szCs w:val="28"/>
        </w:rPr>
        <w:t>Уровень рождаемости</w:t>
      </w:r>
    </w:p>
    <w:p w:rsidR="00A1261D" w:rsidRPr="003E7FD5" w:rsidRDefault="00530E45">
      <w:pPr>
        <w:ind w:firstLine="720"/>
        <w:jc w:val="both"/>
        <w:rPr>
          <w:sz w:val="28"/>
          <w:szCs w:val="28"/>
        </w:rPr>
      </w:pPr>
      <w:r w:rsidRPr="003E7FD5">
        <w:rPr>
          <w:sz w:val="28"/>
          <w:szCs w:val="28"/>
        </w:rPr>
        <w:t xml:space="preserve">За </w:t>
      </w:r>
      <w:r w:rsidR="00347DF9" w:rsidRPr="003E7FD5">
        <w:rPr>
          <w:sz w:val="28"/>
          <w:szCs w:val="28"/>
        </w:rPr>
        <w:t xml:space="preserve"> </w:t>
      </w:r>
      <w:r w:rsidR="00661934">
        <w:rPr>
          <w:sz w:val="28"/>
          <w:szCs w:val="28"/>
        </w:rPr>
        <w:t>6</w:t>
      </w:r>
      <w:r w:rsidR="00FA3B07">
        <w:rPr>
          <w:sz w:val="28"/>
          <w:szCs w:val="28"/>
        </w:rPr>
        <w:t xml:space="preserve"> месяцев </w:t>
      </w:r>
      <w:r w:rsidR="00F86BA5">
        <w:rPr>
          <w:sz w:val="28"/>
          <w:szCs w:val="28"/>
        </w:rPr>
        <w:t xml:space="preserve"> </w:t>
      </w:r>
      <w:r w:rsidR="0010150D" w:rsidRPr="003E7FD5">
        <w:rPr>
          <w:sz w:val="28"/>
          <w:szCs w:val="28"/>
        </w:rPr>
        <w:t>2</w:t>
      </w:r>
      <w:r w:rsidR="00661934">
        <w:rPr>
          <w:sz w:val="28"/>
          <w:szCs w:val="28"/>
        </w:rPr>
        <w:t>019</w:t>
      </w:r>
      <w:r w:rsidR="0010150D" w:rsidRPr="003E7FD5">
        <w:rPr>
          <w:sz w:val="28"/>
          <w:szCs w:val="28"/>
        </w:rPr>
        <w:t xml:space="preserve"> год</w:t>
      </w:r>
      <w:r w:rsidR="00197BDE">
        <w:rPr>
          <w:sz w:val="28"/>
          <w:szCs w:val="28"/>
        </w:rPr>
        <w:t>а</w:t>
      </w:r>
      <w:r w:rsidR="00A1261D" w:rsidRPr="003E7FD5">
        <w:rPr>
          <w:sz w:val="28"/>
          <w:szCs w:val="28"/>
        </w:rPr>
        <w:t xml:space="preserve"> в окр</w:t>
      </w:r>
      <w:r w:rsidRPr="003E7FD5">
        <w:rPr>
          <w:sz w:val="28"/>
          <w:szCs w:val="28"/>
        </w:rPr>
        <w:t xml:space="preserve">уге родилось </w:t>
      </w:r>
      <w:r w:rsidR="00661934">
        <w:rPr>
          <w:sz w:val="28"/>
          <w:szCs w:val="28"/>
        </w:rPr>
        <w:t xml:space="preserve">152 </w:t>
      </w:r>
      <w:r w:rsidR="00A1261D" w:rsidRPr="003E7FD5">
        <w:rPr>
          <w:sz w:val="28"/>
          <w:szCs w:val="28"/>
        </w:rPr>
        <w:t xml:space="preserve"> человек</w:t>
      </w:r>
      <w:r w:rsidR="00FA3B07">
        <w:rPr>
          <w:sz w:val="28"/>
          <w:szCs w:val="28"/>
        </w:rPr>
        <w:t>а</w:t>
      </w:r>
      <w:r w:rsidRPr="003E7FD5">
        <w:rPr>
          <w:sz w:val="28"/>
          <w:szCs w:val="28"/>
        </w:rPr>
        <w:t xml:space="preserve">, что </w:t>
      </w:r>
      <w:r w:rsidR="00D11FAF">
        <w:rPr>
          <w:sz w:val="28"/>
          <w:szCs w:val="28"/>
        </w:rPr>
        <w:t xml:space="preserve">на </w:t>
      </w:r>
      <w:r w:rsidR="00FA3B07">
        <w:rPr>
          <w:sz w:val="28"/>
          <w:szCs w:val="28"/>
        </w:rPr>
        <w:t>3</w:t>
      </w:r>
      <w:r w:rsidR="00B45BFB">
        <w:rPr>
          <w:sz w:val="28"/>
          <w:szCs w:val="28"/>
        </w:rPr>
        <w:t>5</w:t>
      </w:r>
      <w:r w:rsidR="00661934">
        <w:rPr>
          <w:sz w:val="28"/>
          <w:szCs w:val="28"/>
        </w:rPr>
        <w:t xml:space="preserve"> </w:t>
      </w:r>
      <w:r w:rsidR="007A1186" w:rsidRPr="003E7FD5">
        <w:rPr>
          <w:sz w:val="28"/>
          <w:szCs w:val="28"/>
        </w:rPr>
        <w:t>человек</w:t>
      </w:r>
      <w:r w:rsidR="00661934">
        <w:rPr>
          <w:sz w:val="28"/>
          <w:szCs w:val="28"/>
        </w:rPr>
        <w:t xml:space="preserve"> </w:t>
      </w:r>
      <w:r w:rsidR="00516AB8">
        <w:rPr>
          <w:sz w:val="28"/>
          <w:szCs w:val="28"/>
        </w:rPr>
        <w:t>ниже</w:t>
      </w:r>
      <w:r w:rsidR="00347DF9" w:rsidRPr="003E7FD5">
        <w:rPr>
          <w:sz w:val="28"/>
          <w:szCs w:val="28"/>
        </w:rPr>
        <w:t xml:space="preserve"> уровня аналогичного периода прошлого</w:t>
      </w:r>
      <w:r w:rsidR="0010150D" w:rsidRPr="003E7FD5">
        <w:rPr>
          <w:sz w:val="28"/>
          <w:szCs w:val="28"/>
        </w:rPr>
        <w:t xml:space="preserve"> года</w:t>
      </w:r>
      <w:r w:rsidRPr="003E7FD5">
        <w:rPr>
          <w:sz w:val="28"/>
          <w:szCs w:val="28"/>
        </w:rPr>
        <w:t>.</w:t>
      </w:r>
    </w:p>
    <w:p w:rsidR="00BE5074" w:rsidRPr="00760E9C" w:rsidRDefault="009C2FF3" w:rsidP="00530E45">
      <w:pPr>
        <w:ind w:firstLine="720"/>
        <w:jc w:val="center"/>
        <w:rPr>
          <w:color w:val="00808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124575" cy="21621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1261D" w:rsidRPr="003E7FD5" w:rsidRDefault="00926A29" w:rsidP="00926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4E71B7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="00A1261D" w:rsidRPr="003E7FD5">
        <w:rPr>
          <w:b/>
          <w:sz w:val="28"/>
          <w:szCs w:val="28"/>
        </w:rPr>
        <w:t>Уровень смертности</w:t>
      </w:r>
    </w:p>
    <w:p w:rsidR="00A1261D" w:rsidRPr="003E7FD5" w:rsidRDefault="00530E45">
      <w:pPr>
        <w:ind w:firstLine="720"/>
        <w:jc w:val="both"/>
        <w:rPr>
          <w:sz w:val="28"/>
          <w:szCs w:val="28"/>
        </w:rPr>
      </w:pPr>
      <w:r w:rsidRPr="003E7FD5">
        <w:rPr>
          <w:sz w:val="28"/>
          <w:szCs w:val="28"/>
        </w:rPr>
        <w:t>Чи</w:t>
      </w:r>
      <w:r w:rsidR="00321A41" w:rsidRPr="003E7FD5">
        <w:rPr>
          <w:sz w:val="28"/>
          <w:szCs w:val="28"/>
        </w:rPr>
        <w:t>с</w:t>
      </w:r>
      <w:r w:rsidR="001C7A7A" w:rsidRPr="003E7FD5">
        <w:rPr>
          <w:sz w:val="28"/>
          <w:szCs w:val="28"/>
        </w:rPr>
        <w:t>ло умерших за период январь-</w:t>
      </w:r>
      <w:r w:rsidR="00B45BFB">
        <w:rPr>
          <w:sz w:val="28"/>
          <w:szCs w:val="28"/>
        </w:rPr>
        <w:t>июнь 2019</w:t>
      </w:r>
      <w:r w:rsidR="0002510D" w:rsidRPr="003E7FD5">
        <w:rPr>
          <w:sz w:val="28"/>
          <w:szCs w:val="28"/>
        </w:rPr>
        <w:t xml:space="preserve"> года на </w:t>
      </w:r>
      <w:r w:rsidR="00B45BFB">
        <w:rPr>
          <w:sz w:val="28"/>
          <w:szCs w:val="28"/>
        </w:rPr>
        <w:t xml:space="preserve">36 </w:t>
      </w:r>
      <w:r w:rsidR="00A1261D" w:rsidRPr="003E7FD5">
        <w:rPr>
          <w:sz w:val="28"/>
          <w:szCs w:val="28"/>
        </w:rPr>
        <w:t xml:space="preserve">человек </w:t>
      </w:r>
      <w:r w:rsidR="00B45BFB">
        <w:rPr>
          <w:sz w:val="28"/>
          <w:szCs w:val="28"/>
        </w:rPr>
        <w:t xml:space="preserve">ниже </w:t>
      </w:r>
      <w:r w:rsidR="00490177" w:rsidRPr="003E7FD5">
        <w:rPr>
          <w:sz w:val="28"/>
          <w:szCs w:val="28"/>
        </w:rPr>
        <w:t>показателя</w:t>
      </w:r>
      <w:r w:rsidR="00A1261D" w:rsidRPr="003E7FD5">
        <w:rPr>
          <w:sz w:val="28"/>
          <w:szCs w:val="28"/>
        </w:rPr>
        <w:t xml:space="preserve"> прошлого года и составило </w:t>
      </w:r>
      <w:r w:rsidR="00B45BFB">
        <w:rPr>
          <w:sz w:val="28"/>
          <w:szCs w:val="28"/>
        </w:rPr>
        <w:t xml:space="preserve">282 </w:t>
      </w:r>
      <w:r w:rsidR="00A1261D" w:rsidRPr="003E7FD5">
        <w:rPr>
          <w:sz w:val="28"/>
          <w:szCs w:val="28"/>
        </w:rPr>
        <w:t>человек</w:t>
      </w:r>
      <w:r w:rsidR="00B45BFB">
        <w:rPr>
          <w:sz w:val="28"/>
          <w:szCs w:val="28"/>
        </w:rPr>
        <w:t>а</w:t>
      </w:r>
      <w:r w:rsidR="00A1261D" w:rsidRPr="003E7FD5">
        <w:rPr>
          <w:sz w:val="28"/>
          <w:szCs w:val="28"/>
        </w:rPr>
        <w:t>.</w:t>
      </w:r>
    </w:p>
    <w:p w:rsidR="00490177" w:rsidRPr="003E7FD5" w:rsidRDefault="009C2FF3">
      <w:pPr>
        <w:ind w:firstLine="720"/>
        <w:jc w:val="center"/>
        <w:rPr>
          <w:b/>
          <w:sz w:val="16"/>
          <w:szCs w:val="16"/>
        </w:rPr>
      </w:pPr>
      <w:r>
        <w:rPr>
          <w:noProof/>
          <w:color w:val="008080"/>
          <w:lang w:eastAsia="ru-RU"/>
        </w:rPr>
        <w:drawing>
          <wp:inline distT="0" distB="0" distL="0" distR="0">
            <wp:extent cx="6143625" cy="208597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6A29" w:rsidRDefault="00926A29">
      <w:pPr>
        <w:ind w:firstLine="720"/>
        <w:jc w:val="center"/>
        <w:rPr>
          <w:b/>
          <w:sz w:val="28"/>
          <w:szCs w:val="28"/>
        </w:rPr>
      </w:pPr>
    </w:p>
    <w:p w:rsidR="00A1261D" w:rsidRPr="003E7FD5" w:rsidRDefault="004E71B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A1261D" w:rsidRPr="003E7FD5">
        <w:rPr>
          <w:b/>
          <w:sz w:val="28"/>
          <w:szCs w:val="28"/>
        </w:rPr>
        <w:t xml:space="preserve"> Естественная убыль населения</w:t>
      </w:r>
    </w:p>
    <w:p w:rsidR="00A1261D" w:rsidRPr="003E7FD5" w:rsidRDefault="00A1261D">
      <w:pPr>
        <w:ind w:firstLine="720"/>
        <w:jc w:val="both"/>
        <w:rPr>
          <w:sz w:val="28"/>
          <w:szCs w:val="28"/>
        </w:rPr>
      </w:pPr>
      <w:r w:rsidRPr="003E7FD5">
        <w:rPr>
          <w:sz w:val="28"/>
          <w:szCs w:val="28"/>
        </w:rPr>
        <w:t xml:space="preserve">Естественная убыль населения </w:t>
      </w:r>
      <w:r w:rsidR="003A4CBB">
        <w:rPr>
          <w:sz w:val="28"/>
          <w:szCs w:val="28"/>
        </w:rPr>
        <w:t>уменьшилась</w:t>
      </w:r>
      <w:r w:rsidR="00516AB8">
        <w:rPr>
          <w:sz w:val="28"/>
          <w:szCs w:val="28"/>
        </w:rPr>
        <w:t xml:space="preserve"> </w:t>
      </w:r>
      <w:r w:rsidR="003A4CBB">
        <w:rPr>
          <w:sz w:val="28"/>
          <w:szCs w:val="28"/>
        </w:rPr>
        <w:t xml:space="preserve"> всего </w:t>
      </w:r>
      <w:r w:rsidRPr="003E7FD5">
        <w:rPr>
          <w:sz w:val="28"/>
          <w:szCs w:val="28"/>
        </w:rPr>
        <w:t xml:space="preserve">на </w:t>
      </w:r>
      <w:r w:rsidR="00B45BFB">
        <w:rPr>
          <w:sz w:val="28"/>
          <w:szCs w:val="28"/>
        </w:rPr>
        <w:t>1</w:t>
      </w:r>
      <w:r w:rsidRPr="003E7FD5">
        <w:rPr>
          <w:sz w:val="28"/>
          <w:szCs w:val="28"/>
        </w:rPr>
        <w:t xml:space="preserve"> человек</w:t>
      </w:r>
      <w:r w:rsidR="003A4CBB">
        <w:rPr>
          <w:sz w:val="28"/>
          <w:szCs w:val="28"/>
        </w:rPr>
        <w:t>а</w:t>
      </w:r>
      <w:r w:rsidRPr="003E7FD5">
        <w:rPr>
          <w:sz w:val="28"/>
          <w:szCs w:val="28"/>
        </w:rPr>
        <w:t xml:space="preserve"> по сравнению с </w:t>
      </w:r>
      <w:r w:rsidR="00321A41" w:rsidRPr="003E7FD5">
        <w:rPr>
          <w:sz w:val="28"/>
          <w:szCs w:val="28"/>
        </w:rPr>
        <w:t xml:space="preserve">аналогичным периодом </w:t>
      </w:r>
      <w:r w:rsidRPr="003E7FD5">
        <w:rPr>
          <w:sz w:val="28"/>
          <w:szCs w:val="28"/>
        </w:rPr>
        <w:t>прошл</w:t>
      </w:r>
      <w:r w:rsidR="00321A41" w:rsidRPr="003E7FD5">
        <w:rPr>
          <w:sz w:val="28"/>
          <w:szCs w:val="28"/>
        </w:rPr>
        <w:t>ого</w:t>
      </w:r>
      <w:r w:rsidRPr="003E7FD5">
        <w:rPr>
          <w:sz w:val="28"/>
          <w:szCs w:val="28"/>
        </w:rPr>
        <w:t xml:space="preserve"> год</w:t>
      </w:r>
      <w:r w:rsidR="00321A41" w:rsidRPr="003E7FD5">
        <w:rPr>
          <w:sz w:val="28"/>
          <w:szCs w:val="28"/>
        </w:rPr>
        <w:t>а.</w:t>
      </w:r>
      <w:r w:rsidRPr="003E7FD5">
        <w:rPr>
          <w:sz w:val="28"/>
          <w:szCs w:val="28"/>
        </w:rPr>
        <w:t xml:space="preserve"> </w:t>
      </w:r>
    </w:p>
    <w:p w:rsidR="006A3E9D" w:rsidRDefault="009C2FF3" w:rsidP="007C3E45">
      <w:pPr>
        <w:ind w:firstLine="720"/>
        <w:jc w:val="center"/>
      </w:pPr>
      <w:r>
        <w:rPr>
          <w:noProof/>
          <w:lang w:eastAsia="ru-RU"/>
        </w:rPr>
        <w:drawing>
          <wp:inline distT="0" distB="0" distL="0" distR="0">
            <wp:extent cx="5467350" cy="28194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504F7" w:rsidRDefault="000504F7" w:rsidP="007C3E45">
      <w:pPr>
        <w:ind w:firstLine="720"/>
        <w:jc w:val="center"/>
      </w:pPr>
    </w:p>
    <w:p w:rsidR="002F30A3" w:rsidRDefault="002F30A3" w:rsidP="007C3E45">
      <w:pPr>
        <w:ind w:firstLine="720"/>
        <w:jc w:val="center"/>
      </w:pPr>
    </w:p>
    <w:p w:rsidR="005D5D28" w:rsidRPr="003E7FD5" w:rsidRDefault="005D5D28" w:rsidP="007C3E45">
      <w:pPr>
        <w:ind w:firstLine="720"/>
        <w:jc w:val="center"/>
      </w:pPr>
    </w:p>
    <w:p w:rsidR="00A1261D" w:rsidRPr="003E7FD5" w:rsidRDefault="00FD4236" w:rsidP="00FD42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E71B7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 w:rsidR="006A3E9D" w:rsidRPr="003E7FD5">
        <w:rPr>
          <w:b/>
          <w:sz w:val="28"/>
          <w:szCs w:val="28"/>
        </w:rPr>
        <w:t>Пре</w:t>
      </w:r>
      <w:r w:rsidR="00A1261D" w:rsidRPr="003E7FD5">
        <w:rPr>
          <w:b/>
          <w:sz w:val="28"/>
          <w:szCs w:val="28"/>
        </w:rPr>
        <w:t>ступность</w:t>
      </w:r>
    </w:p>
    <w:p w:rsidR="00A1261D" w:rsidRPr="003E7FD5" w:rsidRDefault="00831047" w:rsidP="00A72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4236">
        <w:rPr>
          <w:sz w:val="28"/>
          <w:szCs w:val="28"/>
        </w:rPr>
        <w:t>За</w:t>
      </w:r>
      <w:r w:rsidR="00F27E21" w:rsidRPr="003E7FD5">
        <w:rPr>
          <w:sz w:val="28"/>
          <w:szCs w:val="28"/>
        </w:rPr>
        <w:t xml:space="preserve"> </w:t>
      </w:r>
      <w:r w:rsidR="00F86BA5">
        <w:rPr>
          <w:sz w:val="28"/>
          <w:szCs w:val="28"/>
        </w:rPr>
        <w:t xml:space="preserve">1 полугодие </w:t>
      </w:r>
      <w:r w:rsidR="0072090C">
        <w:rPr>
          <w:sz w:val="28"/>
          <w:szCs w:val="28"/>
        </w:rPr>
        <w:t xml:space="preserve"> 2019</w:t>
      </w:r>
      <w:r w:rsidR="00545B20" w:rsidRPr="003E7FD5">
        <w:rPr>
          <w:sz w:val="28"/>
          <w:szCs w:val="28"/>
        </w:rPr>
        <w:t xml:space="preserve"> год</w:t>
      </w:r>
      <w:r w:rsidR="00197BDE">
        <w:rPr>
          <w:sz w:val="28"/>
          <w:szCs w:val="28"/>
        </w:rPr>
        <w:t>а</w:t>
      </w:r>
      <w:r w:rsidR="00545B20" w:rsidRPr="003E7FD5">
        <w:rPr>
          <w:sz w:val="28"/>
          <w:szCs w:val="28"/>
        </w:rPr>
        <w:t xml:space="preserve"> зарегистрировано </w:t>
      </w:r>
      <w:r w:rsidR="0072090C">
        <w:rPr>
          <w:sz w:val="28"/>
          <w:szCs w:val="28"/>
        </w:rPr>
        <w:t>414</w:t>
      </w:r>
      <w:r w:rsidR="00F86BA5">
        <w:rPr>
          <w:sz w:val="28"/>
          <w:szCs w:val="28"/>
        </w:rPr>
        <w:t xml:space="preserve"> преступлений</w:t>
      </w:r>
      <w:r w:rsidR="00545B20" w:rsidRPr="003E7FD5">
        <w:rPr>
          <w:sz w:val="28"/>
          <w:szCs w:val="28"/>
        </w:rPr>
        <w:t xml:space="preserve">, что на </w:t>
      </w:r>
      <w:r w:rsidR="00B45BFB">
        <w:rPr>
          <w:sz w:val="28"/>
          <w:szCs w:val="28"/>
        </w:rPr>
        <w:t>25,5</w:t>
      </w:r>
      <w:r w:rsidR="00A1261D" w:rsidRPr="003E7FD5">
        <w:rPr>
          <w:sz w:val="28"/>
          <w:szCs w:val="28"/>
        </w:rPr>
        <w:t xml:space="preserve"> % </w:t>
      </w:r>
      <w:r w:rsidR="00C152ED">
        <w:rPr>
          <w:sz w:val="28"/>
          <w:szCs w:val="28"/>
        </w:rPr>
        <w:t>выше</w:t>
      </w:r>
      <w:r w:rsidR="00A1261D" w:rsidRPr="003E7FD5">
        <w:rPr>
          <w:sz w:val="28"/>
          <w:szCs w:val="28"/>
        </w:rPr>
        <w:t xml:space="preserve"> уровня прошлого года</w:t>
      </w:r>
      <w:r w:rsidR="005A3963" w:rsidRPr="003E7FD5">
        <w:rPr>
          <w:sz w:val="28"/>
          <w:szCs w:val="28"/>
        </w:rPr>
        <w:t xml:space="preserve"> (за </w:t>
      </w:r>
      <w:r w:rsidR="00F27E21" w:rsidRPr="003E7FD5">
        <w:rPr>
          <w:sz w:val="28"/>
          <w:szCs w:val="28"/>
        </w:rPr>
        <w:t>аналогичный период</w:t>
      </w:r>
      <w:r w:rsidR="0072090C">
        <w:rPr>
          <w:sz w:val="28"/>
          <w:szCs w:val="28"/>
        </w:rPr>
        <w:t xml:space="preserve"> 2018</w:t>
      </w:r>
      <w:r w:rsidR="005A3963" w:rsidRPr="003E7FD5">
        <w:rPr>
          <w:sz w:val="28"/>
          <w:szCs w:val="28"/>
        </w:rPr>
        <w:t xml:space="preserve"> год</w:t>
      </w:r>
      <w:r w:rsidR="00B10DC4" w:rsidRPr="003E7FD5">
        <w:rPr>
          <w:sz w:val="28"/>
          <w:szCs w:val="28"/>
        </w:rPr>
        <w:t>а</w:t>
      </w:r>
      <w:r w:rsidR="005A3963" w:rsidRPr="003E7FD5">
        <w:rPr>
          <w:sz w:val="28"/>
          <w:szCs w:val="28"/>
        </w:rPr>
        <w:t xml:space="preserve"> – </w:t>
      </w:r>
      <w:r w:rsidR="0072090C">
        <w:rPr>
          <w:sz w:val="28"/>
          <w:szCs w:val="28"/>
        </w:rPr>
        <w:t>330</w:t>
      </w:r>
      <w:r w:rsidR="005A3963" w:rsidRPr="003E7FD5">
        <w:rPr>
          <w:sz w:val="28"/>
          <w:szCs w:val="28"/>
        </w:rPr>
        <w:t xml:space="preserve"> </w:t>
      </w:r>
      <w:r w:rsidR="0072090C">
        <w:rPr>
          <w:sz w:val="28"/>
          <w:szCs w:val="28"/>
        </w:rPr>
        <w:t>преступлений</w:t>
      </w:r>
      <w:r w:rsidR="005A3963" w:rsidRPr="003E7FD5">
        <w:rPr>
          <w:sz w:val="28"/>
          <w:szCs w:val="28"/>
        </w:rPr>
        <w:t>)</w:t>
      </w:r>
      <w:r w:rsidR="00A1261D" w:rsidRPr="003E7FD5">
        <w:rPr>
          <w:sz w:val="28"/>
          <w:szCs w:val="28"/>
        </w:rPr>
        <w:t xml:space="preserve">. </w:t>
      </w:r>
      <w:r w:rsidR="00FD4236" w:rsidRPr="00FD4236">
        <w:rPr>
          <w:sz w:val="28"/>
          <w:szCs w:val="28"/>
        </w:rPr>
        <w:t>Рас</w:t>
      </w:r>
      <w:r w:rsidR="00FD4236">
        <w:rPr>
          <w:sz w:val="28"/>
          <w:szCs w:val="28"/>
        </w:rPr>
        <w:t xml:space="preserve">крываемость преступлений за </w:t>
      </w:r>
      <w:r w:rsidR="00C152ED">
        <w:rPr>
          <w:sz w:val="28"/>
          <w:szCs w:val="28"/>
        </w:rPr>
        <w:t xml:space="preserve">1 </w:t>
      </w:r>
      <w:r w:rsidR="00F86BA5">
        <w:rPr>
          <w:sz w:val="28"/>
          <w:szCs w:val="28"/>
        </w:rPr>
        <w:t xml:space="preserve">полугодие </w:t>
      </w:r>
      <w:r w:rsidR="0072090C">
        <w:rPr>
          <w:sz w:val="28"/>
          <w:szCs w:val="28"/>
        </w:rPr>
        <w:t>2019</w:t>
      </w:r>
      <w:r w:rsidR="00C152ED">
        <w:rPr>
          <w:sz w:val="28"/>
          <w:szCs w:val="28"/>
        </w:rPr>
        <w:t xml:space="preserve"> год</w:t>
      </w:r>
      <w:r w:rsidR="00F86BA5">
        <w:rPr>
          <w:sz w:val="28"/>
          <w:szCs w:val="28"/>
        </w:rPr>
        <w:t xml:space="preserve">а составила </w:t>
      </w:r>
      <w:r w:rsidR="0072090C">
        <w:rPr>
          <w:sz w:val="28"/>
          <w:szCs w:val="28"/>
        </w:rPr>
        <w:t xml:space="preserve">55,4 </w:t>
      </w:r>
      <w:r w:rsidR="00FD4236" w:rsidRPr="00FD4236">
        <w:rPr>
          <w:sz w:val="28"/>
          <w:szCs w:val="28"/>
        </w:rPr>
        <w:t>%.</w:t>
      </w:r>
    </w:p>
    <w:p w:rsidR="007C3E45" w:rsidRPr="003E7FD5" w:rsidRDefault="007C3E45">
      <w:pPr>
        <w:jc w:val="both"/>
        <w:rPr>
          <w:b/>
          <w:sz w:val="28"/>
          <w:szCs w:val="28"/>
        </w:rPr>
      </w:pPr>
    </w:p>
    <w:p w:rsidR="00FD4236" w:rsidRPr="00FD4236" w:rsidRDefault="00FD4236" w:rsidP="00FD42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4E71B7">
        <w:rPr>
          <w:b/>
          <w:sz w:val="28"/>
          <w:szCs w:val="28"/>
        </w:rPr>
        <w:t xml:space="preserve">13. </w:t>
      </w:r>
      <w:r w:rsidRPr="00FD4236">
        <w:rPr>
          <w:b/>
          <w:sz w:val="28"/>
          <w:szCs w:val="28"/>
        </w:rPr>
        <w:t>Дорожно-транспортные происшествия</w:t>
      </w:r>
    </w:p>
    <w:p w:rsidR="00F1279C" w:rsidRPr="00FD4236" w:rsidRDefault="00831047" w:rsidP="00FD4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236">
        <w:rPr>
          <w:sz w:val="28"/>
          <w:szCs w:val="28"/>
        </w:rPr>
        <w:t xml:space="preserve"> </w:t>
      </w:r>
      <w:r w:rsidR="00F86BA5">
        <w:rPr>
          <w:sz w:val="28"/>
          <w:szCs w:val="28"/>
        </w:rPr>
        <w:t>За</w:t>
      </w:r>
      <w:r w:rsidR="00A72F01">
        <w:rPr>
          <w:sz w:val="28"/>
          <w:szCs w:val="28"/>
        </w:rPr>
        <w:t xml:space="preserve"> </w:t>
      </w:r>
      <w:r w:rsidR="00F86BA5">
        <w:rPr>
          <w:sz w:val="28"/>
          <w:szCs w:val="28"/>
        </w:rPr>
        <w:t xml:space="preserve">1 полугодие </w:t>
      </w:r>
      <w:r w:rsidR="0072090C">
        <w:rPr>
          <w:sz w:val="28"/>
          <w:szCs w:val="28"/>
        </w:rPr>
        <w:t xml:space="preserve"> 2019</w:t>
      </w:r>
      <w:r w:rsidR="00F86BA5">
        <w:rPr>
          <w:sz w:val="28"/>
          <w:szCs w:val="28"/>
        </w:rPr>
        <w:t xml:space="preserve"> году было зарегистрировано </w:t>
      </w:r>
      <w:r w:rsidR="00C60001">
        <w:rPr>
          <w:sz w:val="28"/>
          <w:szCs w:val="28"/>
        </w:rPr>
        <w:t>14</w:t>
      </w:r>
      <w:r w:rsidR="00FD4236" w:rsidRPr="00FD4236">
        <w:rPr>
          <w:sz w:val="28"/>
          <w:szCs w:val="28"/>
        </w:rPr>
        <w:t xml:space="preserve"> дорожно-транспор</w:t>
      </w:r>
      <w:r w:rsidR="0072090C">
        <w:rPr>
          <w:sz w:val="28"/>
          <w:szCs w:val="28"/>
        </w:rPr>
        <w:t>тных происшествий, в том числе 1 случай</w:t>
      </w:r>
      <w:r w:rsidR="00FD4236" w:rsidRPr="00FD4236">
        <w:rPr>
          <w:sz w:val="28"/>
          <w:szCs w:val="28"/>
        </w:rPr>
        <w:t xml:space="preserve"> с летальным исходом.</w:t>
      </w:r>
      <w:r w:rsidR="00FD4236">
        <w:rPr>
          <w:sz w:val="28"/>
          <w:szCs w:val="28"/>
        </w:rPr>
        <w:t xml:space="preserve"> </w:t>
      </w:r>
      <w:r w:rsidR="00C152ED">
        <w:rPr>
          <w:sz w:val="28"/>
          <w:szCs w:val="28"/>
        </w:rPr>
        <w:t xml:space="preserve">За 1 </w:t>
      </w:r>
      <w:r w:rsidR="00573D6A">
        <w:rPr>
          <w:sz w:val="28"/>
          <w:szCs w:val="28"/>
        </w:rPr>
        <w:t>полугодие 2018</w:t>
      </w:r>
      <w:r w:rsidR="00F86BA5">
        <w:rPr>
          <w:sz w:val="28"/>
          <w:szCs w:val="28"/>
        </w:rPr>
        <w:t xml:space="preserve"> года  совершено </w:t>
      </w:r>
      <w:r w:rsidR="00C60001">
        <w:rPr>
          <w:sz w:val="28"/>
          <w:szCs w:val="28"/>
        </w:rPr>
        <w:t xml:space="preserve">18 </w:t>
      </w:r>
      <w:r w:rsidR="00FD4236" w:rsidRPr="00FD4236">
        <w:rPr>
          <w:sz w:val="28"/>
          <w:szCs w:val="28"/>
        </w:rPr>
        <w:t>дорожно-транспор</w:t>
      </w:r>
      <w:r w:rsidR="00F86BA5">
        <w:rPr>
          <w:sz w:val="28"/>
          <w:szCs w:val="28"/>
        </w:rPr>
        <w:t>тных происшествий, в том числе 3 случая</w:t>
      </w:r>
      <w:r w:rsidR="00FD4236" w:rsidRPr="00FD4236">
        <w:rPr>
          <w:sz w:val="28"/>
          <w:szCs w:val="28"/>
        </w:rPr>
        <w:t xml:space="preserve"> с летальным исходом. </w:t>
      </w:r>
      <w:r w:rsidR="00BC7F26">
        <w:rPr>
          <w:sz w:val="28"/>
          <w:szCs w:val="28"/>
        </w:rPr>
        <w:t>В 20</w:t>
      </w:r>
      <w:r w:rsidR="00573D6A">
        <w:rPr>
          <w:sz w:val="28"/>
          <w:szCs w:val="28"/>
        </w:rPr>
        <w:t>17</w:t>
      </w:r>
      <w:r w:rsidR="00C152ED">
        <w:rPr>
          <w:sz w:val="28"/>
          <w:szCs w:val="28"/>
        </w:rPr>
        <w:t xml:space="preserve"> году было зарегистрировано </w:t>
      </w:r>
      <w:r w:rsidR="00C60001">
        <w:rPr>
          <w:sz w:val="28"/>
          <w:szCs w:val="28"/>
        </w:rPr>
        <w:t>20</w:t>
      </w:r>
      <w:r w:rsidR="00FD4236" w:rsidRPr="00FD4236">
        <w:rPr>
          <w:sz w:val="28"/>
          <w:szCs w:val="28"/>
        </w:rPr>
        <w:t xml:space="preserve"> дорожно-трансп</w:t>
      </w:r>
      <w:r w:rsidR="00BC7F26">
        <w:rPr>
          <w:sz w:val="28"/>
          <w:szCs w:val="28"/>
        </w:rPr>
        <w:t xml:space="preserve">ортных происшествий, </w:t>
      </w:r>
      <w:r w:rsidR="00C152ED">
        <w:rPr>
          <w:sz w:val="28"/>
          <w:szCs w:val="28"/>
        </w:rPr>
        <w:t xml:space="preserve">в том числе </w:t>
      </w:r>
      <w:r w:rsidR="00E2038A">
        <w:rPr>
          <w:sz w:val="28"/>
          <w:szCs w:val="28"/>
        </w:rPr>
        <w:t>3 случая</w:t>
      </w:r>
      <w:r w:rsidR="00C152ED" w:rsidRPr="00FD4236">
        <w:rPr>
          <w:sz w:val="28"/>
          <w:szCs w:val="28"/>
        </w:rPr>
        <w:t xml:space="preserve"> с летальным исходом</w:t>
      </w:r>
      <w:r w:rsidR="00FD4236" w:rsidRPr="00FD4236">
        <w:rPr>
          <w:sz w:val="28"/>
          <w:szCs w:val="28"/>
        </w:rPr>
        <w:t xml:space="preserve">. </w:t>
      </w:r>
    </w:p>
    <w:p w:rsidR="005A3E1D" w:rsidRPr="003E7FD5" w:rsidRDefault="005A3E1D">
      <w:pPr>
        <w:jc w:val="both"/>
      </w:pPr>
    </w:p>
    <w:p w:rsidR="005A3E1D" w:rsidRPr="003E7FD5" w:rsidRDefault="005A3E1D">
      <w:pPr>
        <w:jc w:val="both"/>
      </w:pPr>
    </w:p>
    <w:p w:rsidR="00A1261D" w:rsidRPr="003E7FD5" w:rsidRDefault="004E71A3">
      <w:pPr>
        <w:jc w:val="both"/>
      </w:pPr>
      <w:r w:rsidRPr="003E7FD5">
        <w:t>Подгот</w:t>
      </w:r>
      <w:r w:rsidR="00372C9D" w:rsidRPr="003E7FD5">
        <w:t>овлено У</w:t>
      </w:r>
      <w:r w:rsidRPr="003E7FD5">
        <w:t>правлением стратегического развития и п</w:t>
      </w:r>
      <w:r w:rsidR="00641083" w:rsidRPr="003E7FD5">
        <w:t>ривлечен</w:t>
      </w:r>
      <w:r w:rsidR="00B00CEB">
        <w:t>ия инвестиций А</w:t>
      </w:r>
      <w:r w:rsidRPr="003E7FD5">
        <w:t>дминистрации Кыштымского городского округа</w:t>
      </w:r>
    </w:p>
    <w:sectPr w:rsidR="00A1261D" w:rsidRPr="003E7FD5" w:rsidSect="009D2D69">
      <w:footnotePr>
        <w:pos w:val="beneathText"/>
      </w:footnotePr>
      <w:pgSz w:w="11905" w:h="16837"/>
      <w:pgMar w:top="567" w:right="924" w:bottom="522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37" w:rsidRDefault="00D86437" w:rsidP="00F642FB">
      <w:r>
        <w:separator/>
      </w:r>
    </w:p>
  </w:endnote>
  <w:endnote w:type="continuationSeparator" w:id="1">
    <w:p w:rsidR="00D86437" w:rsidRDefault="00D86437" w:rsidP="00F64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inrichScrip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37" w:rsidRDefault="00D86437" w:rsidP="00F642FB">
      <w:r>
        <w:separator/>
      </w:r>
    </w:p>
  </w:footnote>
  <w:footnote w:type="continuationSeparator" w:id="1">
    <w:p w:rsidR="00D86437" w:rsidRDefault="00D86437" w:rsidP="00F64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47371E"/>
    <w:multiLevelType w:val="hybridMultilevel"/>
    <w:tmpl w:val="5B08C0BC"/>
    <w:lvl w:ilvl="0" w:tplc="1BAE22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1AF8"/>
    <w:rsid w:val="00004956"/>
    <w:rsid w:val="00011618"/>
    <w:rsid w:val="000151A3"/>
    <w:rsid w:val="000205AB"/>
    <w:rsid w:val="000232F8"/>
    <w:rsid w:val="0002510D"/>
    <w:rsid w:val="00026936"/>
    <w:rsid w:val="000365DF"/>
    <w:rsid w:val="00042A7F"/>
    <w:rsid w:val="000504F7"/>
    <w:rsid w:val="000574CF"/>
    <w:rsid w:val="0006062A"/>
    <w:rsid w:val="000764B5"/>
    <w:rsid w:val="00081A42"/>
    <w:rsid w:val="00090A8C"/>
    <w:rsid w:val="00091AF8"/>
    <w:rsid w:val="00094A51"/>
    <w:rsid w:val="000C5CD3"/>
    <w:rsid w:val="000C7A52"/>
    <w:rsid w:val="000D0064"/>
    <w:rsid w:val="000D0BBC"/>
    <w:rsid w:val="000D2B83"/>
    <w:rsid w:val="000D48E5"/>
    <w:rsid w:val="000F53F9"/>
    <w:rsid w:val="000F7294"/>
    <w:rsid w:val="0010150D"/>
    <w:rsid w:val="00101EA0"/>
    <w:rsid w:val="001026ED"/>
    <w:rsid w:val="00102C3B"/>
    <w:rsid w:val="0012636A"/>
    <w:rsid w:val="0012731E"/>
    <w:rsid w:val="001326AD"/>
    <w:rsid w:val="001568F5"/>
    <w:rsid w:val="00166548"/>
    <w:rsid w:val="00173DE4"/>
    <w:rsid w:val="00186CD1"/>
    <w:rsid w:val="00192C5D"/>
    <w:rsid w:val="00197BDE"/>
    <w:rsid w:val="001A0A1D"/>
    <w:rsid w:val="001B18D7"/>
    <w:rsid w:val="001B67F7"/>
    <w:rsid w:val="001C3016"/>
    <w:rsid w:val="001C7A7A"/>
    <w:rsid w:val="001C7E23"/>
    <w:rsid w:val="001D06D4"/>
    <w:rsid w:val="001D3313"/>
    <w:rsid w:val="001F3799"/>
    <w:rsid w:val="001F411A"/>
    <w:rsid w:val="001F6D36"/>
    <w:rsid w:val="00214D05"/>
    <w:rsid w:val="002155F9"/>
    <w:rsid w:val="00217736"/>
    <w:rsid w:val="00221D61"/>
    <w:rsid w:val="00224697"/>
    <w:rsid w:val="002268A3"/>
    <w:rsid w:val="00235C00"/>
    <w:rsid w:val="00245226"/>
    <w:rsid w:val="00247BD4"/>
    <w:rsid w:val="00250AD2"/>
    <w:rsid w:val="002511EC"/>
    <w:rsid w:val="00255877"/>
    <w:rsid w:val="00256AB7"/>
    <w:rsid w:val="00262E31"/>
    <w:rsid w:val="00286051"/>
    <w:rsid w:val="002963F1"/>
    <w:rsid w:val="0029723C"/>
    <w:rsid w:val="002973CD"/>
    <w:rsid w:val="002A16D0"/>
    <w:rsid w:val="002B30A2"/>
    <w:rsid w:val="002C0E57"/>
    <w:rsid w:val="002C696B"/>
    <w:rsid w:val="002D1CC9"/>
    <w:rsid w:val="002E4D5A"/>
    <w:rsid w:val="002E63E8"/>
    <w:rsid w:val="002F30A3"/>
    <w:rsid w:val="002F6352"/>
    <w:rsid w:val="002F7C77"/>
    <w:rsid w:val="0030263D"/>
    <w:rsid w:val="00313F5F"/>
    <w:rsid w:val="00315C93"/>
    <w:rsid w:val="0031766C"/>
    <w:rsid w:val="00317A31"/>
    <w:rsid w:val="00321A41"/>
    <w:rsid w:val="00321E33"/>
    <w:rsid w:val="00321E3C"/>
    <w:rsid w:val="003246BA"/>
    <w:rsid w:val="00326C4B"/>
    <w:rsid w:val="0033382C"/>
    <w:rsid w:val="00336620"/>
    <w:rsid w:val="003423CB"/>
    <w:rsid w:val="00343CCA"/>
    <w:rsid w:val="003442E1"/>
    <w:rsid w:val="003471A5"/>
    <w:rsid w:val="003472F3"/>
    <w:rsid w:val="00347DF9"/>
    <w:rsid w:val="00352548"/>
    <w:rsid w:val="003537A5"/>
    <w:rsid w:val="00354930"/>
    <w:rsid w:val="00356A93"/>
    <w:rsid w:val="003573B3"/>
    <w:rsid w:val="00362873"/>
    <w:rsid w:val="00366923"/>
    <w:rsid w:val="00372C9D"/>
    <w:rsid w:val="003A25C4"/>
    <w:rsid w:val="003A334D"/>
    <w:rsid w:val="003A4CBB"/>
    <w:rsid w:val="003B176A"/>
    <w:rsid w:val="003C47DE"/>
    <w:rsid w:val="003C5C1C"/>
    <w:rsid w:val="003D3D62"/>
    <w:rsid w:val="003E0853"/>
    <w:rsid w:val="003E0EE5"/>
    <w:rsid w:val="003E7FD5"/>
    <w:rsid w:val="003F65E8"/>
    <w:rsid w:val="0040027A"/>
    <w:rsid w:val="00400A2D"/>
    <w:rsid w:val="004046D1"/>
    <w:rsid w:val="00404808"/>
    <w:rsid w:val="0040599A"/>
    <w:rsid w:val="00407C5E"/>
    <w:rsid w:val="00416104"/>
    <w:rsid w:val="0042605E"/>
    <w:rsid w:val="0043576A"/>
    <w:rsid w:val="00442802"/>
    <w:rsid w:val="004500A4"/>
    <w:rsid w:val="00450DAA"/>
    <w:rsid w:val="00456F87"/>
    <w:rsid w:val="00477C1C"/>
    <w:rsid w:val="00482AA1"/>
    <w:rsid w:val="004837E3"/>
    <w:rsid w:val="0048664E"/>
    <w:rsid w:val="00490177"/>
    <w:rsid w:val="00492E17"/>
    <w:rsid w:val="0049503A"/>
    <w:rsid w:val="0049604C"/>
    <w:rsid w:val="004D24B8"/>
    <w:rsid w:val="004E085A"/>
    <w:rsid w:val="004E146B"/>
    <w:rsid w:val="004E44FC"/>
    <w:rsid w:val="004E71A3"/>
    <w:rsid w:val="004E71B7"/>
    <w:rsid w:val="004E7DF6"/>
    <w:rsid w:val="004F360E"/>
    <w:rsid w:val="004F514A"/>
    <w:rsid w:val="00501916"/>
    <w:rsid w:val="005041D8"/>
    <w:rsid w:val="00516AB8"/>
    <w:rsid w:val="005171B7"/>
    <w:rsid w:val="00530E45"/>
    <w:rsid w:val="005379BD"/>
    <w:rsid w:val="00545B20"/>
    <w:rsid w:val="005503EB"/>
    <w:rsid w:val="00556CEE"/>
    <w:rsid w:val="0056069F"/>
    <w:rsid w:val="00561FB7"/>
    <w:rsid w:val="00573D6A"/>
    <w:rsid w:val="00581D46"/>
    <w:rsid w:val="00582832"/>
    <w:rsid w:val="0058664B"/>
    <w:rsid w:val="00590355"/>
    <w:rsid w:val="005975A2"/>
    <w:rsid w:val="005A2965"/>
    <w:rsid w:val="005A3963"/>
    <w:rsid w:val="005A3E1D"/>
    <w:rsid w:val="005A40E7"/>
    <w:rsid w:val="005A6211"/>
    <w:rsid w:val="005B632F"/>
    <w:rsid w:val="005B764E"/>
    <w:rsid w:val="005C7B9D"/>
    <w:rsid w:val="005D0428"/>
    <w:rsid w:val="005D432C"/>
    <w:rsid w:val="005D491A"/>
    <w:rsid w:val="005D55C1"/>
    <w:rsid w:val="005D5D28"/>
    <w:rsid w:val="005D7C99"/>
    <w:rsid w:val="005E7689"/>
    <w:rsid w:val="00600D58"/>
    <w:rsid w:val="00602994"/>
    <w:rsid w:val="00617D09"/>
    <w:rsid w:val="00621C63"/>
    <w:rsid w:val="00623F6E"/>
    <w:rsid w:val="00641083"/>
    <w:rsid w:val="00641A93"/>
    <w:rsid w:val="0065772D"/>
    <w:rsid w:val="00661934"/>
    <w:rsid w:val="00665E47"/>
    <w:rsid w:val="00681780"/>
    <w:rsid w:val="006905EC"/>
    <w:rsid w:val="006935A7"/>
    <w:rsid w:val="006A281A"/>
    <w:rsid w:val="006A3E9D"/>
    <w:rsid w:val="006B1209"/>
    <w:rsid w:val="006B1A63"/>
    <w:rsid w:val="006B6805"/>
    <w:rsid w:val="006B69CD"/>
    <w:rsid w:val="006C79F0"/>
    <w:rsid w:val="006D6482"/>
    <w:rsid w:val="006D7814"/>
    <w:rsid w:val="006E4D5E"/>
    <w:rsid w:val="006F2C1E"/>
    <w:rsid w:val="006F3076"/>
    <w:rsid w:val="006F6292"/>
    <w:rsid w:val="00706205"/>
    <w:rsid w:val="00706E00"/>
    <w:rsid w:val="00712157"/>
    <w:rsid w:val="00712973"/>
    <w:rsid w:val="0071379E"/>
    <w:rsid w:val="0072090C"/>
    <w:rsid w:val="0074072A"/>
    <w:rsid w:val="00744848"/>
    <w:rsid w:val="00745B31"/>
    <w:rsid w:val="0074683A"/>
    <w:rsid w:val="00750A9A"/>
    <w:rsid w:val="007560E3"/>
    <w:rsid w:val="00756486"/>
    <w:rsid w:val="00760E9C"/>
    <w:rsid w:val="00765A60"/>
    <w:rsid w:val="007A1186"/>
    <w:rsid w:val="007A5C21"/>
    <w:rsid w:val="007B0BDF"/>
    <w:rsid w:val="007B2450"/>
    <w:rsid w:val="007B5006"/>
    <w:rsid w:val="007C3E45"/>
    <w:rsid w:val="007C5A08"/>
    <w:rsid w:val="007C6963"/>
    <w:rsid w:val="007C70A8"/>
    <w:rsid w:val="007C79F8"/>
    <w:rsid w:val="007C7FE1"/>
    <w:rsid w:val="007E38F1"/>
    <w:rsid w:val="00804A64"/>
    <w:rsid w:val="00806AE9"/>
    <w:rsid w:val="00807890"/>
    <w:rsid w:val="008155D3"/>
    <w:rsid w:val="00817E57"/>
    <w:rsid w:val="008303B6"/>
    <w:rsid w:val="00831047"/>
    <w:rsid w:val="00834777"/>
    <w:rsid w:val="00842EAC"/>
    <w:rsid w:val="00846F39"/>
    <w:rsid w:val="00847974"/>
    <w:rsid w:val="00847C5D"/>
    <w:rsid w:val="008539D1"/>
    <w:rsid w:val="00857F39"/>
    <w:rsid w:val="00865149"/>
    <w:rsid w:val="008673F2"/>
    <w:rsid w:val="00872E4B"/>
    <w:rsid w:val="0088295A"/>
    <w:rsid w:val="0089097E"/>
    <w:rsid w:val="0089768A"/>
    <w:rsid w:val="008A4A66"/>
    <w:rsid w:val="008C50E4"/>
    <w:rsid w:val="008D3BF0"/>
    <w:rsid w:val="008D5B54"/>
    <w:rsid w:val="008E53C2"/>
    <w:rsid w:val="008F0BED"/>
    <w:rsid w:val="00901EC5"/>
    <w:rsid w:val="0090549C"/>
    <w:rsid w:val="00921C26"/>
    <w:rsid w:val="00926A29"/>
    <w:rsid w:val="00937DEB"/>
    <w:rsid w:val="00956ABC"/>
    <w:rsid w:val="00964FBB"/>
    <w:rsid w:val="0098344C"/>
    <w:rsid w:val="00993065"/>
    <w:rsid w:val="00994D04"/>
    <w:rsid w:val="009A2130"/>
    <w:rsid w:val="009A4380"/>
    <w:rsid w:val="009A6943"/>
    <w:rsid w:val="009B3644"/>
    <w:rsid w:val="009B5B70"/>
    <w:rsid w:val="009B65D5"/>
    <w:rsid w:val="009C063A"/>
    <w:rsid w:val="009C2DE0"/>
    <w:rsid w:val="009C2FF3"/>
    <w:rsid w:val="009C7186"/>
    <w:rsid w:val="009D0242"/>
    <w:rsid w:val="009D0567"/>
    <w:rsid w:val="009D0681"/>
    <w:rsid w:val="009D2D69"/>
    <w:rsid w:val="009D3E29"/>
    <w:rsid w:val="009D7B01"/>
    <w:rsid w:val="009E419A"/>
    <w:rsid w:val="009E577C"/>
    <w:rsid w:val="009F5356"/>
    <w:rsid w:val="009F79A5"/>
    <w:rsid w:val="00A02A17"/>
    <w:rsid w:val="00A04050"/>
    <w:rsid w:val="00A1261D"/>
    <w:rsid w:val="00A1318E"/>
    <w:rsid w:val="00A13F63"/>
    <w:rsid w:val="00A1531F"/>
    <w:rsid w:val="00A1558B"/>
    <w:rsid w:val="00A16C9B"/>
    <w:rsid w:val="00A202B5"/>
    <w:rsid w:val="00A21743"/>
    <w:rsid w:val="00A24697"/>
    <w:rsid w:val="00A30417"/>
    <w:rsid w:val="00A4722B"/>
    <w:rsid w:val="00A52A7A"/>
    <w:rsid w:val="00A52E9D"/>
    <w:rsid w:val="00A601A3"/>
    <w:rsid w:val="00A62BCC"/>
    <w:rsid w:val="00A70D1A"/>
    <w:rsid w:val="00A72F01"/>
    <w:rsid w:val="00A76C20"/>
    <w:rsid w:val="00A8363F"/>
    <w:rsid w:val="00AB106E"/>
    <w:rsid w:val="00AB4439"/>
    <w:rsid w:val="00AB7186"/>
    <w:rsid w:val="00AC60B3"/>
    <w:rsid w:val="00AD4462"/>
    <w:rsid w:val="00AD774A"/>
    <w:rsid w:val="00AE72EA"/>
    <w:rsid w:val="00AF1AE4"/>
    <w:rsid w:val="00AF3B4B"/>
    <w:rsid w:val="00AF68FA"/>
    <w:rsid w:val="00B00CEB"/>
    <w:rsid w:val="00B012F1"/>
    <w:rsid w:val="00B06B42"/>
    <w:rsid w:val="00B10DC4"/>
    <w:rsid w:val="00B24AD0"/>
    <w:rsid w:val="00B25003"/>
    <w:rsid w:val="00B41D11"/>
    <w:rsid w:val="00B41F6E"/>
    <w:rsid w:val="00B43155"/>
    <w:rsid w:val="00B44D57"/>
    <w:rsid w:val="00B45BFB"/>
    <w:rsid w:val="00B470AD"/>
    <w:rsid w:val="00B6019D"/>
    <w:rsid w:val="00B655C7"/>
    <w:rsid w:val="00B657EE"/>
    <w:rsid w:val="00B66DDC"/>
    <w:rsid w:val="00B75EC5"/>
    <w:rsid w:val="00B83537"/>
    <w:rsid w:val="00B86FF8"/>
    <w:rsid w:val="00B94A94"/>
    <w:rsid w:val="00BA5803"/>
    <w:rsid w:val="00BA797D"/>
    <w:rsid w:val="00BC157F"/>
    <w:rsid w:val="00BC7F26"/>
    <w:rsid w:val="00BD3CC0"/>
    <w:rsid w:val="00BD549B"/>
    <w:rsid w:val="00BD5813"/>
    <w:rsid w:val="00BD79CC"/>
    <w:rsid w:val="00BE0925"/>
    <w:rsid w:val="00BE13D8"/>
    <w:rsid w:val="00BE15C1"/>
    <w:rsid w:val="00BE4EB7"/>
    <w:rsid w:val="00BE5074"/>
    <w:rsid w:val="00BF5909"/>
    <w:rsid w:val="00BF700A"/>
    <w:rsid w:val="00C07676"/>
    <w:rsid w:val="00C152ED"/>
    <w:rsid w:val="00C20C83"/>
    <w:rsid w:val="00C20CDF"/>
    <w:rsid w:val="00C31EFA"/>
    <w:rsid w:val="00C325EF"/>
    <w:rsid w:val="00C3774E"/>
    <w:rsid w:val="00C408DD"/>
    <w:rsid w:val="00C40964"/>
    <w:rsid w:val="00C42312"/>
    <w:rsid w:val="00C44A69"/>
    <w:rsid w:val="00C559A5"/>
    <w:rsid w:val="00C60001"/>
    <w:rsid w:val="00C71E3C"/>
    <w:rsid w:val="00C7505E"/>
    <w:rsid w:val="00CA240B"/>
    <w:rsid w:val="00CB13F8"/>
    <w:rsid w:val="00CB1EB9"/>
    <w:rsid w:val="00CB3491"/>
    <w:rsid w:val="00CB58F5"/>
    <w:rsid w:val="00CC7767"/>
    <w:rsid w:val="00CD4502"/>
    <w:rsid w:val="00CE0F35"/>
    <w:rsid w:val="00CE241E"/>
    <w:rsid w:val="00CE2620"/>
    <w:rsid w:val="00CF40C4"/>
    <w:rsid w:val="00D04CB5"/>
    <w:rsid w:val="00D07078"/>
    <w:rsid w:val="00D11FAF"/>
    <w:rsid w:val="00D132C4"/>
    <w:rsid w:val="00D310E0"/>
    <w:rsid w:val="00D32147"/>
    <w:rsid w:val="00D330BF"/>
    <w:rsid w:val="00D40302"/>
    <w:rsid w:val="00D62FFC"/>
    <w:rsid w:val="00D7249B"/>
    <w:rsid w:val="00D841B4"/>
    <w:rsid w:val="00D84579"/>
    <w:rsid w:val="00D849B5"/>
    <w:rsid w:val="00D86437"/>
    <w:rsid w:val="00DA002A"/>
    <w:rsid w:val="00DA66F5"/>
    <w:rsid w:val="00DD68FE"/>
    <w:rsid w:val="00DD726A"/>
    <w:rsid w:val="00DF1AD5"/>
    <w:rsid w:val="00DF49A6"/>
    <w:rsid w:val="00DF7224"/>
    <w:rsid w:val="00E07AD8"/>
    <w:rsid w:val="00E14A2D"/>
    <w:rsid w:val="00E157F0"/>
    <w:rsid w:val="00E2038A"/>
    <w:rsid w:val="00E264F7"/>
    <w:rsid w:val="00E35139"/>
    <w:rsid w:val="00E35CE0"/>
    <w:rsid w:val="00E36A6E"/>
    <w:rsid w:val="00E37F67"/>
    <w:rsid w:val="00E40547"/>
    <w:rsid w:val="00E5071F"/>
    <w:rsid w:val="00E51880"/>
    <w:rsid w:val="00E51942"/>
    <w:rsid w:val="00E605F6"/>
    <w:rsid w:val="00E66F55"/>
    <w:rsid w:val="00E75A72"/>
    <w:rsid w:val="00E80AAB"/>
    <w:rsid w:val="00E80DE6"/>
    <w:rsid w:val="00E94F28"/>
    <w:rsid w:val="00E96BB2"/>
    <w:rsid w:val="00EA6E77"/>
    <w:rsid w:val="00EB0CC2"/>
    <w:rsid w:val="00EB0E09"/>
    <w:rsid w:val="00ED152C"/>
    <w:rsid w:val="00EE1126"/>
    <w:rsid w:val="00EE76D4"/>
    <w:rsid w:val="00EF7A4F"/>
    <w:rsid w:val="00F1279C"/>
    <w:rsid w:val="00F247AE"/>
    <w:rsid w:val="00F24DF9"/>
    <w:rsid w:val="00F2672E"/>
    <w:rsid w:val="00F27E21"/>
    <w:rsid w:val="00F34833"/>
    <w:rsid w:val="00F37BA1"/>
    <w:rsid w:val="00F62A73"/>
    <w:rsid w:val="00F642FB"/>
    <w:rsid w:val="00F64734"/>
    <w:rsid w:val="00F6789C"/>
    <w:rsid w:val="00F86BA5"/>
    <w:rsid w:val="00F9517C"/>
    <w:rsid w:val="00F9688C"/>
    <w:rsid w:val="00FA3B07"/>
    <w:rsid w:val="00FB75AE"/>
    <w:rsid w:val="00FC02DA"/>
    <w:rsid w:val="00FC0878"/>
    <w:rsid w:val="00FC25F6"/>
    <w:rsid w:val="00FC5E34"/>
    <w:rsid w:val="00FD4236"/>
    <w:rsid w:val="00FE79F8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jc w:val="center"/>
    </w:pPr>
    <w:rPr>
      <w:rFonts w:ascii="Arial" w:hAnsi="Arial"/>
    </w:r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Pr>
      <w:rFonts w:ascii="Arial" w:hAnsi="Arial"/>
    </w:rPr>
  </w:style>
  <w:style w:type="paragraph" w:styleId="a7">
    <w:name w:val="Body Text Indent"/>
    <w:basedOn w:val="a"/>
    <w:rPr>
      <w:rFonts w:ascii="Arial" w:hAnsi="Arial"/>
    </w:rPr>
  </w:style>
  <w:style w:type="paragraph" w:customStyle="1" w:styleId="a8">
    <w:name w:val="Содержимое врезки"/>
    <w:basedOn w:val="a5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3">
    <w:name w:val="Body Text 3"/>
    <w:basedOn w:val="a"/>
    <w:rsid w:val="005D0428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rsid w:val="009C2DE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A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F642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F642FB"/>
    <w:rPr>
      <w:sz w:val="24"/>
      <w:szCs w:val="24"/>
      <w:lang w:eastAsia="ar-SA"/>
    </w:rPr>
  </w:style>
  <w:style w:type="paragraph" w:styleId="af">
    <w:name w:val="footer"/>
    <w:basedOn w:val="a"/>
    <w:link w:val="af0"/>
    <w:rsid w:val="00F642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642F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913043478260873E-2"/>
          <c:y val="3.9473684210526327E-2"/>
          <c:w val="0.91159420289855075"/>
          <c:h val="0.802631578947368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33CCCC"/>
            </a:solidFill>
            <a:ln w="1268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CC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CC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7429374089948104E-2"/>
                  <c:y val="-1.6086197429655578E-2"/>
                </c:manualLayout>
              </c:layout>
              <c:showVal val="1"/>
            </c:dLbl>
            <c:dLbl>
              <c:idx val="1"/>
              <c:layout>
                <c:manualLayout>
                  <c:x val="2.3782632694331757E-2"/>
                  <c:y val="-6.1800355450924688E-2"/>
                </c:manualLayout>
              </c:layout>
              <c:showVal val="1"/>
            </c:dLbl>
            <c:dLbl>
              <c:idx val="2"/>
              <c:layout>
                <c:manualLayout>
                  <c:x val="1.9133046883787867E-2"/>
                  <c:y val="-7.0968435447117104E-2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60289855072463772"/>
                  <c:y val="4.8245614035087717E-2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74782608695652175"/>
                  <c:y val="7.8947368421052599E-2"/>
                </c:manualLayout>
              </c:layout>
              <c:showVal val="1"/>
            </c:dLbl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8636.6</c:v>
                </c:pt>
                <c:pt idx="1">
                  <c:v>10486</c:v>
                </c:pt>
                <c:pt idx="2">
                  <c:v>10780.2</c:v>
                </c:pt>
              </c:numCache>
            </c:numRef>
          </c:val>
        </c:ser>
        <c:dLbls>
          <c:showVal val="1"/>
        </c:dLbls>
        <c:gapDepth val="0"/>
        <c:shape val="cone"/>
        <c:axId val="123028608"/>
        <c:axId val="123030144"/>
        <c:axId val="0"/>
      </c:bar3DChart>
      <c:catAx>
        <c:axId val="12302860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030144"/>
        <c:crosses val="autoZero"/>
        <c:auto val="1"/>
        <c:lblAlgn val="ctr"/>
        <c:lblOffset val="100"/>
        <c:tickLblSkip val="1"/>
        <c:tickMarkSkip val="1"/>
      </c:catAx>
      <c:valAx>
        <c:axId val="12303014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028608"/>
        <c:crosses val="autoZero"/>
        <c:crossBetween val="between"/>
      </c:valAx>
      <c:spPr>
        <a:noFill/>
        <a:ln w="25364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33333333333337E-2"/>
          <c:y val="7.3426573426573424E-2"/>
          <c:w val="0.90070921985815622"/>
          <c:h val="0.87412587412587484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1808510638297879"/>
                  <c:y val="0.4055944055944057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195035460992905"/>
                  <c:y val="0.91958041958041969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81382978723404265"/>
                  <c:y val="0.8846153846153848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-48</c:v>
                </c:pt>
                <c:pt idx="1">
                  <c:v>-131</c:v>
                </c:pt>
                <c:pt idx="2">
                  <c:v>-130</c:v>
                </c:pt>
              </c:numCache>
            </c:numRef>
          </c:val>
        </c:ser>
        <c:dLbls>
          <c:showVal val="1"/>
        </c:dLbls>
        <c:axId val="150627072"/>
        <c:axId val="150628608"/>
      </c:barChart>
      <c:catAx>
        <c:axId val="150627072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0628608"/>
        <c:crosses val="autoZero"/>
        <c:lblAlgn val="ctr"/>
        <c:lblOffset val="100"/>
        <c:tickLblSkip val="1"/>
        <c:tickMarkSkip val="1"/>
      </c:catAx>
      <c:valAx>
        <c:axId val="150628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06270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50">
                <a:latin typeface="Times New Roman" pitchFamily="18" charset="0"/>
                <a:cs typeface="Times New Roman" pitchFamily="18" charset="0"/>
              </a:rPr>
              <a:t>Отгрузка товаров собственного производства по видам экономической деятельности
 (за исключением обрабатывающих производств) за 6 месяцев 2019 года</a:t>
            </a:r>
          </a:p>
        </c:rich>
      </c:tx>
      <c:layout>
        <c:manualLayout>
          <c:xMode val="edge"/>
          <c:yMode val="edge"/>
          <c:x val="0.10715457589744855"/>
          <c:y val="2.5117794010688413E-3"/>
        </c:manualLayout>
      </c:layout>
    </c:title>
    <c:plotArea>
      <c:layout>
        <c:manualLayout>
          <c:layoutTarget val="inner"/>
          <c:xMode val="edge"/>
          <c:yMode val="edge"/>
          <c:x val="7.9937304075235124E-2"/>
          <c:y val="0.14316239316239329"/>
          <c:w val="0.82445141065830763"/>
          <c:h val="0.638888888888889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0561465866923302E-3"/>
                  <c:y val="-1.008928371133100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24,4</a:t>
                    </a:r>
                    <a:endParaRPr lang="ru-RU"/>
                  </a:p>
                </c:rich>
              </c:tx>
              <c:dLblPos val="outEnd"/>
            </c:dLbl>
            <c:dLbl>
              <c:idx val="1"/>
              <c:layout>
                <c:manualLayout>
                  <c:x val="-1.139601139601140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421,7</a:t>
                    </a:r>
                    <a:endParaRPr lang="ru-RU"/>
                  </a:p>
                </c:rich>
              </c:tx>
              <c:dLblPos val="outEnd"/>
            </c:dLbl>
            <c:dLbl>
              <c:idx val="2"/>
              <c:layout>
                <c:manualLayout>
                  <c:x val="-5.6858918276241109E-3"/>
                  <c:y val="6.540592682324971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5,8</a:t>
                    </a:r>
                    <a:endParaRPr lang="en-US"/>
                  </a:p>
                </c:rich>
              </c:tx>
              <c:dLblPos val="outEnd"/>
            </c:dLbl>
            <c:dLbl>
              <c:idx val="3"/>
              <c:layout>
                <c:manualLayout>
                  <c:x val="1.0485227808062459E-3"/>
                  <c:y val="-3.8187854723287793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-9.222468986248514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23,1</a:t>
                    </a:r>
                    <a:endParaRPr lang="en-US"/>
                  </a:p>
                </c:rich>
              </c:tx>
              <c:dLblPos val="outEnd"/>
            </c:dLbl>
            <c:dLbl>
              <c:idx val="5"/>
              <c:layout>
                <c:manualLayout>
                  <c:x val="-7.0021161884678963E-4"/>
                  <c:y val="1.469816272965879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81,9</a:t>
                    </a:r>
                    <a:endParaRPr lang="en-US"/>
                  </a:p>
                </c:rich>
              </c:tx>
              <c:dLblPos val="outEnd"/>
            </c:dLbl>
            <c:dLbl>
              <c:idx val="6"/>
              <c:layout>
                <c:manualLayout>
                  <c:x val="-4.5458659360369802E-3"/>
                  <c:y val="-1.671041119860074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0298958356701141E-3"/>
                  <c:y val="-6.7963299459362489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9436148067699129E-3"/>
                  <c:y val="-7.0511698858155593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0592813829305804E-2"/>
                  <c:y val="-9.688404334073631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9.6755773866824754E-3"/>
                  <c:y val="-7.087287166027394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Сельское хозяйство, охота и лесное хозяйство</c:v>
                </c:pt>
                <c:pt idx="1">
                  <c:v>Добыча полезных ископаемых</c:v>
                </c:pt>
                <c:pt idx="2">
                  <c:v>Производство и распределение э/энергии, газа и воды</c:v>
                </c:pt>
                <c:pt idx="3">
                  <c:v>Строительство</c:v>
                </c:pt>
                <c:pt idx="4">
                  <c:v>Гостиницы и рестораны</c:v>
                </c:pt>
                <c:pt idx="5">
                  <c:v>Транспорт и связь</c:v>
                </c:pt>
                <c:pt idx="6">
                  <c:v>Операции с недвижимым имуществом, аренда и предоставление услуг</c:v>
                </c:pt>
                <c:pt idx="7">
                  <c:v>Образование</c:v>
                </c:pt>
                <c:pt idx="8">
                  <c:v>Здравоохранение и предоставление социальных услуг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24.4</c:v>
                </c:pt>
                <c:pt idx="1">
                  <c:v>421.7</c:v>
                </c:pt>
                <c:pt idx="2">
                  <c:v>5.8</c:v>
                </c:pt>
                <c:pt idx="3">
                  <c:v>41.5</c:v>
                </c:pt>
                <c:pt idx="4">
                  <c:v>23.1</c:v>
                </c:pt>
                <c:pt idx="5">
                  <c:v>81.900000000000006</c:v>
                </c:pt>
                <c:pt idx="6">
                  <c:v>63</c:v>
                </c:pt>
                <c:pt idx="7">
                  <c:v>21.7</c:v>
                </c:pt>
                <c:pt idx="8">
                  <c:v>209.6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1.2147047449789779E-2"/>
                  <c:y val="-7.846198712340509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24,6</a:t>
                    </a:r>
                  </a:p>
                </c:rich>
              </c:tx>
              <c:dLblPos val="outEnd"/>
            </c:dLbl>
            <c:dLbl>
              <c:idx val="1"/>
              <c:layout>
                <c:manualLayout>
                  <c:x val="1.5719557782549909E-2"/>
                  <c:y val="-9.099676493926638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480,3</a:t>
                    </a:r>
                  </a:p>
                </c:rich>
              </c:tx>
              <c:dLblPos val="outEnd"/>
            </c:dLbl>
            <c:dLbl>
              <c:idx val="2"/>
              <c:layout>
                <c:manualLayout>
                  <c:x val="1.2950176099782442E-2"/>
                  <c:y val="1.231334333861008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3909587680079483E-2"/>
                  <c:y val="2.8429282160625452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8.6632484892876765E-3"/>
                  <c:y val="-1.7623438095878006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19,4</a:t>
                    </a:r>
                    <a:endParaRPr lang="en-US"/>
                  </a:p>
                </c:rich>
              </c:tx>
              <c:dLblPos val="outEnd"/>
            </c:dLbl>
            <c:dLbl>
              <c:idx val="5"/>
              <c:layout>
                <c:manualLayout>
                  <c:x val="2.1532778488159088E-2"/>
                  <c:y val="2.60236220472441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85,8</a:t>
                    </a:r>
                    <a:endParaRPr lang="en-US"/>
                  </a:p>
                </c:rich>
              </c:tx>
              <c:dLblPos val="outEnd"/>
            </c:dLbl>
            <c:dLbl>
              <c:idx val="6"/>
              <c:layout>
                <c:manualLayout>
                  <c:x val="8.5224816983347218E-3"/>
                  <c:y val="-8.99844438505239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5.6980056980056983E-3"/>
                  <c:y val="5.6980056980056983E-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5249461179498628E-3"/>
                  <c:y val="8.4161867826223254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5.6763404574428225E-3"/>
                  <c:y val="-1.8481498102892582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3.9741679085941398E-3"/>
                  <c:y val="-1.990049751243782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Сельское хозяйство, охота и лесное хозяйство</c:v>
                </c:pt>
                <c:pt idx="1">
                  <c:v>Добыча полезных ископаемых</c:v>
                </c:pt>
                <c:pt idx="2">
                  <c:v>Производство и распределение э/энергии, газа и воды</c:v>
                </c:pt>
                <c:pt idx="3">
                  <c:v>Строительство</c:v>
                </c:pt>
                <c:pt idx="4">
                  <c:v>Гостиницы и рестораны</c:v>
                </c:pt>
                <c:pt idx="5">
                  <c:v>Транспорт и связь</c:v>
                </c:pt>
                <c:pt idx="6">
                  <c:v>Операции с недвижимым имуществом, аренда и предоставление услуг</c:v>
                </c:pt>
                <c:pt idx="7">
                  <c:v>Образование</c:v>
                </c:pt>
                <c:pt idx="8">
                  <c:v>Здравоохранение и предоставление социальных услуг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24.6</c:v>
                </c:pt>
                <c:pt idx="1">
                  <c:v>480.3</c:v>
                </c:pt>
                <c:pt idx="2">
                  <c:v>52.9</c:v>
                </c:pt>
                <c:pt idx="3">
                  <c:v>34.300000000000004</c:v>
                </c:pt>
                <c:pt idx="4">
                  <c:v>19.399999999999999</c:v>
                </c:pt>
                <c:pt idx="5">
                  <c:v>85.8</c:v>
                </c:pt>
                <c:pt idx="6">
                  <c:v>58.4</c:v>
                </c:pt>
                <c:pt idx="7">
                  <c:v>17.7</c:v>
                </c:pt>
                <c:pt idx="8">
                  <c:v>189.6</c:v>
                </c:pt>
              </c:numCache>
            </c:numRef>
          </c:val>
        </c:ser>
        <c:axId val="118262784"/>
        <c:axId val="124412672"/>
      </c:barChart>
      <c:catAx>
        <c:axId val="1182627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 baseline="0"/>
            </a:pPr>
            <a:endParaRPr lang="ru-RU"/>
          </a:p>
        </c:txPr>
        <c:crossAx val="124412672"/>
        <c:crosses val="autoZero"/>
        <c:auto val="1"/>
        <c:lblAlgn val="ctr"/>
        <c:lblOffset val="100"/>
        <c:tickLblSkip val="1"/>
        <c:tickMarkSkip val="1"/>
      </c:catAx>
      <c:valAx>
        <c:axId val="124412672"/>
        <c:scaling>
          <c:orientation val="minMax"/>
        </c:scaling>
        <c:axPos val="l"/>
        <c:min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82627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91669620451048672"/>
          <c:y val="0.42735066249248987"/>
          <c:w val="7.8601436575913688E-2"/>
          <c:h val="0.12749264775637995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Отгрузка товаров собственного производства по виду экономической деятельности - обрабатывающие производства за 1 полугодие 2019 год</a:t>
            </a:r>
          </a:p>
        </c:rich>
      </c:tx>
      <c:layout>
        <c:manualLayout>
          <c:xMode val="edge"/>
          <c:yMode val="edge"/>
          <c:x val="0.1123417174734036"/>
          <c:y val="1.4367883729836261E-2"/>
        </c:manualLayout>
      </c:layout>
    </c:title>
    <c:plotArea>
      <c:layout>
        <c:manualLayout>
          <c:layoutTarget val="inner"/>
          <c:xMode val="edge"/>
          <c:yMode val="edge"/>
          <c:x val="0.24165660892388449"/>
          <c:y val="0.1686591183401345"/>
          <c:w val="0.41267502362204733"/>
          <c:h val="0.72988505747126464"/>
        </c:manualLayout>
      </c:layout>
      <c:barChart>
        <c:barDir val="col"/>
        <c:grouping val="clustered"/>
        <c:ser>
          <c:idx val="0"/>
          <c:order val="0"/>
          <c:tx>
            <c:v>2019</c:v>
          </c:tx>
          <c:dLbls>
            <c:dLbl>
              <c:idx val="0"/>
              <c:layout>
                <c:manualLayout>
                  <c:x val="6.134162696747548E-3"/>
                  <c:y val="1.0949920658198531E-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9823,0</a:t>
                    </a:r>
                    <a:endParaRPr lang="en-US"/>
                  </a:p>
                </c:rich>
              </c:tx>
              <c:spPr/>
              <c:dLblPos val="outEnd"/>
            </c:dLbl>
            <c:dLbl>
              <c:idx val="1"/>
              <c:layout>
                <c:manualLayout>
                  <c:xMode val="edge"/>
                  <c:yMode val="edge"/>
                  <c:x val="0.43829113924050633"/>
                  <c:y val="0.6206896551724140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29430379746835456"/>
                  <c:y val="0.9856321839080457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5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6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7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8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9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0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Лист2!$A$2</c:f>
              <c:strCache>
                <c:ptCount val="1"/>
                <c:pt idx="0">
                  <c:v>Обрабатывающие производства</c:v>
                </c:pt>
              </c:strCache>
            </c:strRef>
          </c:cat>
          <c:val>
            <c:numLit>
              <c:formatCode>General</c:formatCode>
              <c:ptCount val="1"/>
              <c:pt idx="0">
                <c:v>9471.2999999999956</c:v>
              </c:pt>
            </c:numLit>
          </c:val>
        </c:ser>
        <c:ser>
          <c:idx val="1"/>
          <c:order val="1"/>
          <c:tx>
            <c:v>2018</c:v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9471,2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Лист2!$A$2</c:f>
              <c:strCache>
                <c:ptCount val="1"/>
                <c:pt idx="0">
                  <c:v>Обрабатывающие производства</c:v>
                </c:pt>
              </c:strCache>
            </c:strRef>
          </c:cat>
          <c:val>
            <c:numLit>
              <c:formatCode>General</c:formatCode>
              <c:ptCount val="1"/>
              <c:pt idx="0">
                <c:v>7821.6</c:v>
              </c:pt>
            </c:numLit>
          </c:val>
        </c:ser>
        <c:axId val="124812288"/>
        <c:axId val="124814080"/>
      </c:barChart>
      <c:catAx>
        <c:axId val="124812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4814080"/>
        <c:crosses val="autoZero"/>
        <c:lblAlgn val="ctr"/>
        <c:lblOffset val="100"/>
        <c:tickLblSkip val="1"/>
        <c:tickMarkSkip val="1"/>
      </c:catAx>
      <c:valAx>
        <c:axId val="124814080"/>
        <c:scaling>
          <c:orientation val="minMax"/>
        </c:scaling>
        <c:axPos val="l"/>
        <c:min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48122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80659327458675811"/>
          <c:y val="0.34770121706316959"/>
          <c:w val="0.1534809402743155"/>
          <c:h val="0.22509522608606317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Прибыль прибыльных предприятий за 1 полугодие 2019 год</a:t>
            </a:r>
          </a:p>
        </c:rich>
      </c:tx>
      <c:layout>
        <c:manualLayout>
          <c:xMode val="edge"/>
          <c:yMode val="edge"/>
          <c:x val="0.15806988352745438"/>
          <c:y val="8.2644628099173591E-3"/>
        </c:manualLayout>
      </c:layout>
      <c:spPr>
        <a:noFill/>
        <a:ln w="25401">
          <a:noFill/>
        </a:ln>
      </c:spPr>
    </c:title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866888519134802E-2"/>
          <c:y val="0.17768595041322319"/>
          <c:w val="0.90016638935108129"/>
          <c:h val="0.657024793388430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6955074875207985"/>
                  <c:y val="0.4793388429752067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1081530782029949"/>
                  <c:y val="0.37603305785123969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5374376039933466"/>
                  <c:y val="0.20247933884297531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ry"/>
                    <a:ea typeface="Arial cry"/>
                    <a:cs typeface="Arial cry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565.4</c:v>
                </c:pt>
                <c:pt idx="1">
                  <c:v>943.4</c:v>
                </c:pt>
                <c:pt idx="2">
                  <c:v>1533.9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24835712"/>
        <c:axId val="124837248"/>
        <c:axId val="0"/>
      </c:bar3DChart>
      <c:catAx>
        <c:axId val="1248357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837248"/>
        <c:crosses val="autoZero"/>
        <c:auto val="1"/>
        <c:lblAlgn val="ctr"/>
        <c:lblOffset val="100"/>
        <c:tickLblSkip val="1"/>
        <c:tickMarkSkip val="1"/>
      </c:catAx>
      <c:valAx>
        <c:axId val="1248372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83571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Ввод жилья в эксплуатацию за 1 полугодие 2018 год</a:t>
            </a:r>
          </a:p>
        </c:rich>
      </c:tx>
      <c:layout>
        <c:manualLayout>
          <c:xMode val="edge"/>
          <c:yMode val="edge"/>
          <c:x val="0.18880000000000005"/>
          <c:y val="0"/>
        </c:manualLayout>
      </c:layout>
      <c:spPr>
        <a:noFill/>
        <a:ln w="25360">
          <a:noFill/>
        </a:ln>
      </c:spPr>
    </c:title>
    <c:view3D>
      <c:hPercent val="42"/>
      <c:depthPercent val="5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600000000000006E-2"/>
          <c:y val="0.15730337078651691"/>
          <c:w val="0.7552000000000002"/>
          <c:h val="0.7078651685393258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МКД</c:v>
                </c:pt>
              </c:strCache>
            </c:strRef>
          </c:tx>
          <c:spPr>
            <a:solidFill>
              <a:srgbClr val="99CC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1920000000000006"/>
                  <c:y val="0.74906367041198529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99360000000000004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4960000000000029"/>
                  <c:y val="0.64794007490636729"/>
                </c:manualLayout>
              </c:layout>
              <c:showVal val="1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2649</c:v>
                </c:pt>
                <c:pt idx="2">
                  <c:v>8014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ИЖС</c:v>
                </c:pt>
              </c:strCache>
            </c:strRef>
          </c:tx>
          <c:spPr>
            <a:solidFill>
              <a:srgbClr val="FF00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24"/>
                  <c:y val="0.55056179775280878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3200000000000011"/>
                  <c:y val="0.6629213483146069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5120000000000022"/>
                  <c:y val="0.3520599250936331"/>
                </c:manualLayout>
              </c:layout>
              <c:showVal val="1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4973</c:v>
                </c:pt>
                <c:pt idx="1">
                  <c:v>6233</c:v>
                </c:pt>
                <c:pt idx="2">
                  <c:v>5322</c:v>
                </c:pt>
              </c:numCache>
            </c:numRef>
          </c:val>
        </c:ser>
        <c:dLbls>
          <c:showVal val="1"/>
        </c:dLbls>
        <c:gapDepth val="0"/>
        <c:shape val="cylinder"/>
        <c:axId val="146346752"/>
        <c:axId val="146348288"/>
        <c:axId val="0"/>
      </c:bar3DChart>
      <c:catAx>
        <c:axId val="14634675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348288"/>
        <c:crosses val="autoZero"/>
        <c:auto val="1"/>
        <c:lblAlgn val="ctr"/>
        <c:lblOffset val="100"/>
        <c:tickLblSkip val="1"/>
        <c:tickMarkSkip val="1"/>
      </c:catAx>
      <c:valAx>
        <c:axId val="14634828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346752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82240000000000002"/>
          <c:y val="0.50936329588014939"/>
          <c:w val="0.16"/>
          <c:h val="0.16479400749063675"/>
        </c:manualLayout>
      </c:layout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441640378548881E-2"/>
          <c:y val="4.1666666666666664E-2"/>
          <c:w val="0.90378548895899069"/>
          <c:h val="0.791666666666666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5709779179810727"/>
                  <c:y val="0.3101851851851853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141955835962145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6498422712933789"/>
                  <c:y val="0.37500000000000011"/>
                </c:manualLayout>
              </c:layout>
              <c:showVal val="1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9997</c:v>
                </c:pt>
                <c:pt idx="1">
                  <c:v>10017</c:v>
                </c:pt>
                <c:pt idx="2">
                  <c:v>9984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46447360"/>
        <c:axId val="146457344"/>
        <c:axId val="0"/>
      </c:bar3DChart>
      <c:catAx>
        <c:axId val="14644736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457344"/>
        <c:crosses val="autoZero"/>
        <c:auto val="1"/>
        <c:lblAlgn val="ctr"/>
        <c:lblOffset val="100"/>
        <c:tickLblSkip val="1"/>
        <c:tickMarkSkip val="1"/>
      </c:catAx>
      <c:valAx>
        <c:axId val="14645734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447360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328075709779241E-2"/>
          <c:y val="3.7344398340248962E-2"/>
          <c:w val="0.89589905362776046"/>
          <c:h val="0.809128630705394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5078864353312291"/>
                  <c:y val="0.13692946058091296"/>
                </c:manualLayout>
              </c:layout>
              <c:spPr>
                <a:noFill/>
                <a:ln w="25360">
                  <a:noFill/>
                </a:ln>
              </c:spPr>
              <c:txPr>
                <a:bodyPr/>
                <a:lstStyle/>
                <a:p>
                  <a:pPr>
                    <a:defRPr sz="94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0788643533123001"/>
                  <c:y val="2.9045643153526986E-2"/>
                </c:manualLayout>
              </c:layout>
              <c:spPr>
                <a:noFill/>
                <a:ln w="25360">
                  <a:noFill/>
                </a:ln>
              </c:spPr>
              <c:txPr>
                <a:bodyPr/>
                <a:lstStyle/>
                <a:p>
                  <a:pPr>
                    <a:defRPr sz="94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6656151419558383"/>
                  <c:y val="0"/>
                </c:manualLayout>
              </c:layout>
              <c:spPr>
                <a:noFill/>
                <a:ln w="25360">
                  <a:noFill/>
                </a:ln>
              </c:spPr>
              <c:txPr>
                <a:bodyPr/>
                <a:lstStyle/>
                <a:p>
                  <a:pPr>
                    <a:defRPr sz="94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26170.400000000001</c:v>
                </c:pt>
                <c:pt idx="1">
                  <c:v>31696.2</c:v>
                </c:pt>
                <c:pt idx="2">
                  <c:v>33376.1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46937344"/>
        <c:axId val="146938880"/>
        <c:axId val="0"/>
      </c:bar3DChart>
      <c:catAx>
        <c:axId val="14693734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938880"/>
        <c:crosses val="autoZero"/>
        <c:auto val="1"/>
        <c:lblAlgn val="ctr"/>
        <c:lblOffset val="100"/>
        <c:tickLblSkip val="1"/>
        <c:tickMarkSkip val="1"/>
      </c:catAx>
      <c:valAx>
        <c:axId val="14693888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937344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35962145110412E-2"/>
          <c:y val="4.1474654377880185E-2"/>
          <c:w val="0.92586750788643513"/>
          <c:h val="0.7926267281105993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FF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5867507886435331"/>
                  <c:y val="5.0691244239631367E-2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205047318611985"/>
                  <c:y val="0.11059907834101387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6656151419558383"/>
                  <c:y val="0.22119815668202772"/>
                </c:manualLayout>
              </c:layout>
              <c:showVal val="1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215</c:v>
                </c:pt>
                <c:pt idx="1">
                  <c:v>187</c:v>
                </c:pt>
                <c:pt idx="2">
                  <c:v>152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46971264"/>
        <c:axId val="147063168"/>
        <c:axId val="0"/>
      </c:bar3DChart>
      <c:catAx>
        <c:axId val="14697126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063168"/>
        <c:crosses val="autoZero"/>
        <c:auto val="1"/>
        <c:lblAlgn val="ctr"/>
        <c:lblOffset val="100"/>
        <c:tickLblSkip val="1"/>
        <c:tickMarkSkip val="1"/>
      </c:catAx>
      <c:valAx>
        <c:axId val="147063168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971264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35962145110412E-2"/>
          <c:y val="4.3062200956937836E-2"/>
          <c:w val="0.92586750788643513"/>
          <c:h val="0.789473684210526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6498422712933767"/>
                  <c:y val="5.2631578947368432E-2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1419558359621453"/>
                  <c:y val="0.19617224880382775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5552050473186116"/>
                  <c:y val="0.28229665071770327"/>
                </c:manualLayout>
              </c:layout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425</c:v>
                </c:pt>
                <c:pt idx="1">
                  <c:v>318</c:v>
                </c:pt>
                <c:pt idx="2">
                  <c:v>282</c:v>
                </c:pt>
              </c:numCache>
            </c:numRef>
          </c:val>
          <c:shape val="cylinder"/>
        </c:ser>
        <c:dLbls>
          <c:showVal val="1"/>
        </c:dLbls>
        <c:gapDepth val="0"/>
        <c:shape val="box"/>
        <c:axId val="126119936"/>
        <c:axId val="126121472"/>
        <c:axId val="0"/>
      </c:bar3DChart>
      <c:catAx>
        <c:axId val="1261199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121472"/>
        <c:crosses val="autoZero"/>
        <c:auto val="1"/>
        <c:lblAlgn val="ctr"/>
        <c:lblOffset val="100"/>
        <c:tickLblSkip val="1"/>
        <c:tickMarkSkip val="1"/>
      </c:catAx>
      <c:valAx>
        <c:axId val="1261214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119936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6ADD-18EE-42BF-9667-D9C9181E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просроченной задолженности по заработной плате</vt:lpstr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просроченной задолженности по заработной плате</dc:title>
  <dc:creator>GEG</dc:creator>
  <cp:lastModifiedBy>Наташа</cp:lastModifiedBy>
  <cp:revision>2</cp:revision>
  <cp:lastPrinted>2019-09-13T08:29:00Z</cp:lastPrinted>
  <dcterms:created xsi:type="dcterms:W3CDTF">2019-09-13T11:22:00Z</dcterms:created>
  <dcterms:modified xsi:type="dcterms:W3CDTF">2019-09-13T11:22:00Z</dcterms:modified>
</cp:coreProperties>
</file>