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6B" w:rsidRPr="00275E6B" w:rsidRDefault="007C57BF" w:rsidP="007C5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1.</w:t>
      </w:r>
      <w:r w:rsidR="00275E6B" w:rsidRPr="00275E6B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275E6B" w:rsidRPr="00275E6B" w:rsidRDefault="00275E6B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Можно ли вернуть средства за обучение оказанию первой помощи и обучение применению </w:t>
      </w:r>
      <w:proofErr w:type="gramStart"/>
      <w:r w:rsidRPr="002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СИЗ</w:t>
      </w:r>
      <w:proofErr w:type="gramEnd"/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Нет, нельзя.</w:t>
      </w:r>
    </w:p>
    <w:p w:rsidR="00275E6B" w:rsidRPr="00275E6B" w:rsidRDefault="00275E6B" w:rsidP="007C57B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СФР возмещает средства только за обучение требованиям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Это следует из </w:t>
      </w:r>
      <w:hyperlink r:id="rId6" w:anchor="/document/99/727688582/XA00MFE2O5/" w:tgtFrame="_self" w:tooltip="" w:history="1">
        <w:r w:rsidRPr="00275E6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пунктов 53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7" w:anchor="/document/99/727688582/XA00MFU2O7/" w:tgtFrame="_self" w:tooltip="" w:history="1">
        <w:r w:rsidRPr="00275E6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55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Правил № 2464. Поэтому если учебный центр обучает по общей программе, в которую включили вопросы по оказанию первой помощи и использованию СИЗ, фонд вернет деньги. Но если учебный центр разделил программы, то в возмещении за отдельное обучение по ПП и СИЗ откажут.</w:t>
      </w:r>
    </w:p>
    <w:p w:rsidR="00275E6B" w:rsidRPr="007C57BF" w:rsidRDefault="00275E6B" w:rsidP="007C57B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91915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2.</w:t>
      </w:r>
      <w:r w:rsidRPr="007C57B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275E6B" w:rsidRPr="00275E6B" w:rsidRDefault="00275E6B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Можно ли вернуть средства за обучение электробезопасности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Нет, нельзя.</w:t>
      </w:r>
    </w:p>
    <w:p w:rsidR="0036343B" w:rsidRDefault="00275E6B" w:rsidP="0036343B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Мероприятия, за которые можно вернуть средства из фонда, перечислены в </w:t>
      </w:r>
      <w:hyperlink r:id="rId8" w:anchor="/document/99/608263915/ZAP2EAC3KB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пункте 3 Правил финансирования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Обучение по электробезопасности не входит в перечень. СФР вернет средства только за обучение работников </w:t>
      </w:r>
      <w:hyperlink r:id="rId9" w:anchor="/document/16/146585/" w:tgtFrame="_self" w:tooltip="" w:history="1">
        <w:r w:rsidRPr="007C57BF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требованиям охраны труда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программам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Б и В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учебном центре.</w:t>
      </w:r>
    </w:p>
    <w:p w:rsidR="00275E6B" w:rsidRPr="0036343B" w:rsidRDefault="00275E6B" w:rsidP="0036343B">
      <w:pPr>
        <w:spacing w:after="18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91915" w:rsidRPr="0036343B">
        <w:rPr>
          <w:rFonts w:ascii="Times New Roman" w:eastAsia="Times New Roman" w:hAnsi="Times New Roman" w:cs="Times New Roman"/>
          <w:b/>
          <w:caps/>
          <w:color w:val="222222"/>
          <w:spacing w:val="17"/>
          <w:sz w:val="28"/>
          <w:szCs w:val="28"/>
          <w:lang w:eastAsia="ru-RU"/>
        </w:rPr>
        <w:t>3.</w:t>
      </w:r>
      <w:r w:rsidRPr="0036343B">
        <w:rPr>
          <w:rFonts w:ascii="Times New Roman" w:eastAsia="Times New Roman" w:hAnsi="Times New Roman" w:cs="Times New Roman"/>
          <w:b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275E6B" w:rsidRPr="00275E6B" w:rsidRDefault="00275E6B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 </w:t>
      </w:r>
      <w:proofErr w:type="gramStart"/>
      <w:r w:rsidRPr="002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покупку</w:t>
      </w:r>
      <w:proofErr w:type="gramEnd"/>
      <w:r w:rsidRPr="002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каких СИЗ можно получить возмещение расходов от СФР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За счет СФР можно возместить расходы на СИЗ,</w:t>
      </w: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которые работникам нужно выдать по типовым нормам бесплатной выдачи СИЗ либо по результатам СОУТ.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СИЗ, которые закупил работодатель, должны быть произведены на территории России или других государств – членов Евразийского экономического союза: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Армении, Белоруссии, Казахстана, Киргизии (</w:t>
      </w:r>
      <w:hyperlink r:id="rId10" w:anchor="/document/99/608263915/ZAP2QSO3K9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подп. «г» п. 3 Правил финансирования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СФР возместит расходы на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пределах 20 процентов страховых взносов, которые предприятие уплатило в предшествующем году.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подтвердить расходы на покупку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 заявлению в СФР, которое направляете не позднее 31 июля, нужно приложить: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1. Перечень </w:t>
      </w:r>
      <w:proofErr w:type="gramStart"/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приобретаемых</w:t>
      </w:r>
      <w:proofErr w:type="gramEnd"/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СИЗ.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перечне нужно указать:</w:t>
      </w:r>
    </w:p>
    <w:p w:rsidR="00275E6B" w:rsidRPr="00275E6B" w:rsidRDefault="00275E6B" w:rsidP="007C57B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профессии и должности работников, для которых приобретались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75E6B" w:rsidRPr="00275E6B" w:rsidRDefault="00275E6B" w:rsidP="007C57B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пункт и реквизиты типовой нормы, по которой работникам нужно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выдавать соответствующие 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75E6B" w:rsidRPr="00275E6B" w:rsidRDefault="00275E6B" w:rsidP="007C57B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75E6B" w:rsidRPr="00275E6B" w:rsidRDefault="00275E6B" w:rsidP="007C57B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стоимость;</w:t>
      </w:r>
    </w:p>
    <w:p w:rsidR="00275E6B" w:rsidRPr="00275E6B" w:rsidRDefault="00275E6B" w:rsidP="007C57B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дату изготовления;</w:t>
      </w:r>
    </w:p>
    <w:p w:rsidR="00275E6B" w:rsidRPr="00275E6B" w:rsidRDefault="00275E6B" w:rsidP="007C57B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 годности.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2. </w:t>
      </w:r>
      <w:hyperlink r:id="rId11" w:anchor="/document/118/68310/" w:tooltip="" w:history="1">
        <w:r w:rsidRPr="007C57BF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 xml:space="preserve">Перечень СИЗ, приобретаемых с учетом результатов </w:t>
        </w:r>
        <w:proofErr w:type="spellStart"/>
        <w:r w:rsidRPr="007C57BF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>спецоценки</w:t>
        </w:r>
        <w:proofErr w:type="spellEnd"/>
      </w:hyperlink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перечне нужно указать:</w:t>
      </w:r>
    </w:p>
    <w:p w:rsidR="00275E6B" w:rsidRPr="00275E6B" w:rsidRDefault="00275E6B" w:rsidP="007C57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профессии и должности работников, для которых приобретались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75E6B" w:rsidRPr="00275E6B" w:rsidRDefault="00275E6B" w:rsidP="007C57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норму выдачи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75E6B" w:rsidRPr="00275E6B" w:rsidRDefault="00275E6B" w:rsidP="007C57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75E6B" w:rsidRPr="00275E6B" w:rsidRDefault="00275E6B" w:rsidP="007C57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стоимость;</w:t>
      </w:r>
    </w:p>
    <w:p w:rsidR="00275E6B" w:rsidRPr="00275E6B" w:rsidRDefault="00275E6B" w:rsidP="007C57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дату изготовления;</w:t>
      </w:r>
    </w:p>
    <w:p w:rsidR="00275E6B" w:rsidRPr="00275E6B" w:rsidRDefault="00275E6B" w:rsidP="007C57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 годности.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 Копии сертификатов или деклараций соответствия СИЗ </w:t>
      </w:r>
      <w:proofErr w:type="spellStart"/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техрегламенту</w:t>
      </w:r>
      <w:proofErr w:type="spellEnd"/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ТС «О безопасности средств индивидуальной защиты» (</w:t>
      </w:r>
      <w:proofErr w:type="gramStart"/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</w:t>
      </w:r>
      <w:proofErr w:type="gramEnd"/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ТС 019/2011).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какие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нужна декларация о соответствии, а на какие – сертификат соответствия, </w:t>
      </w:r>
      <w:hyperlink r:id="rId12" w:anchor="/document/16/139379/dfas7bu8zz/" w:tooltip="" w:history="1">
        <w:r w:rsidRPr="007C57BF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читайте в рекомендации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4. Документы, которые подтверждают, что </w:t>
      </w:r>
      <w:proofErr w:type="gramStart"/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СИЗ</w:t>
      </w:r>
      <w:proofErr w:type="gramEnd"/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произвели на территории России или других государств – членов ЕЭС.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подтвердить факт производства 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территории России, нужно представить копию заключения о подтверждении производства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промпродукции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территории РФ, которое выдает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Минпромторг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подтвердить факт производства СИЗ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территории других государств – членов ЕЭС, достаточно копии декларации о происхождении товара или сертификата о происхождении товара.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которые нужно приложить к заявлению для возмещения расходов на СИЗ, перечислены в </w:t>
      </w:r>
      <w:hyperlink r:id="rId13" w:anchor="/document/99/608263915/ZAP3CH240Q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подпункте «г» пункта 6 Правил финансирования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которые подают не позднее 14 декабря:</w:t>
      </w:r>
    </w:p>
    <w:p w:rsidR="00275E6B" w:rsidRPr="00275E6B" w:rsidRDefault="00275E6B" w:rsidP="007C57B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перечень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приобретенных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СИЗ;</w:t>
      </w:r>
    </w:p>
    <w:p w:rsidR="00275E6B" w:rsidRPr="00275E6B" w:rsidRDefault="00275E6B" w:rsidP="007C57B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сертификаты и декларации соответствия;</w:t>
      </w:r>
    </w:p>
    <w:p w:rsidR="00275E6B" w:rsidRPr="00275E6B" w:rsidRDefault="00275E6B" w:rsidP="007C57BF">
      <w:pPr>
        <w:numPr>
          <w:ilvl w:val="0"/>
          <w:numId w:val="3"/>
        </w:numPr>
        <w:spacing w:after="18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финансовые документы, подтверждающие оплату стоимости работ, услуг.</w:t>
      </w:r>
    </w:p>
    <w:p w:rsidR="00275E6B" w:rsidRPr="007C57BF" w:rsidRDefault="00275E6B" w:rsidP="007C57BF">
      <w:pPr>
        <w:pStyle w:val="3"/>
        <w:shd w:val="clear" w:color="auto" w:fill="F3F8FC"/>
        <w:spacing w:before="0" w:line="240" w:lineRule="auto"/>
        <w:rPr>
          <w:rFonts w:ascii="Times New Roman" w:eastAsia="Times New Roman" w:hAnsi="Times New Roman" w:cs="Times New Roman"/>
          <w:caps/>
          <w:color w:val="0076E0"/>
          <w:spacing w:val="17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91915">
        <w:rPr>
          <w:rFonts w:ascii="Times New Roman" w:eastAsia="Times New Roman" w:hAnsi="Times New Roman" w:cs="Times New Roman"/>
          <w:caps/>
          <w:color w:val="0076E0"/>
          <w:spacing w:val="17"/>
          <w:sz w:val="28"/>
          <w:szCs w:val="28"/>
          <w:lang w:eastAsia="ru-RU"/>
        </w:rPr>
        <w:t>4.</w:t>
      </w:r>
      <w:r w:rsidRPr="007C57BF">
        <w:rPr>
          <w:rFonts w:ascii="Times New Roman" w:eastAsia="Times New Roman" w:hAnsi="Times New Roman" w:cs="Times New Roman"/>
          <w:caps/>
          <w:color w:val="0076E0"/>
          <w:spacing w:val="17"/>
          <w:sz w:val="28"/>
          <w:szCs w:val="28"/>
          <w:lang w:eastAsia="ru-RU"/>
        </w:rPr>
        <w:t>СИТУАЦИЯ</w:t>
      </w:r>
    </w:p>
    <w:p w:rsidR="00275E6B" w:rsidRPr="00275E6B" w:rsidRDefault="00275E6B" w:rsidP="007C57BF">
      <w:pPr>
        <w:shd w:val="clear" w:color="auto" w:fill="F3F8FC"/>
        <w:spacing w:before="100" w:beforeAutospacing="1" w:after="180" w:line="240" w:lineRule="auto"/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Можно ли возместить расходы на обязательные медосмотры работников за счет СФР</w:t>
      </w:r>
    </w:p>
    <w:p w:rsidR="00275E6B" w:rsidRPr="00275E6B" w:rsidRDefault="00275E6B" w:rsidP="007C57BF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lastRenderedPageBreak/>
        <w:t>Да, можно,</w:t>
      </w: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только на обязательные периодические медосмотры работников, которые заняты на работах с вредными или опасными производственными факторами. Это указано в </w:t>
      </w:r>
      <w:hyperlink r:id="rId14" w:anchor="/document/99/608263915/ZAP2AG03JD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подпункте «е» пункта 3 Правил финансирования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этом к таким работникам относятся как подвергающиеся воздействию вредных производственных факторов, так и выполняющие работы, предусмотренные перечнем работ в </w:t>
      </w:r>
      <w:hyperlink r:id="rId15" w:anchor="/document/99/573473070/XA00M382MD/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Порядке № 29н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hyperlink r:id="rId16" w:anchor="/document/97/483864/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письмо СФР от 05.11.2020 № 02-08-01/12-05-12630л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75E6B" w:rsidRPr="00275E6B" w:rsidRDefault="00275E6B" w:rsidP="007C57BF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возмещения расходов на периодические медосмотры к заявлению в СФР, которое направляете не позднее 31 июля, нужно приложить:</w:t>
      </w:r>
    </w:p>
    <w:p w:rsidR="00275E6B" w:rsidRPr="00275E6B" w:rsidRDefault="00275E6B" w:rsidP="007C57BF">
      <w:pPr>
        <w:numPr>
          <w:ilvl w:val="0"/>
          <w:numId w:val="4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копию списка работников, которых нужно направить на периодический медосмотр в текущем календарном году;</w:t>
      </w:r>
    </w:p>
    <w:p w:rsidR="00275E6B" w:rsidRPr="00275E6B" w:rsidRDefault="00275E6B" w:rsidP="007C57BF">
      <w:pPr>
        <w:numPr>
          <w:ilvl w:val="0"/>
          <w:numId w:val="4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копию договора с медучреждением;</w:t>
      </w:r>
    </w:p>
    <w:p w:rsidR="00275E6B" w:rsidRPr="00275E6B" w:rsidRDefault="00275E6B" w:rsidP="007C57BF">
      <w:pPr>
        <w:numPr>
          <w:ilvl w:val="0"/>
          <w:numId w:val="4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расчет стоимости услуг по медосмотру.</w:t>
      </w:r>
    </w:p>
    <w:p w:rsidR="00275E6B" w:rsidRPr="00275E6B" w:rsidRDefault="00275E6B" w:rsidP="007C57BF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которые нужно приложить для возмещения расходов на периодические медосмотры, перечислены в </w:t>
      </w:r>
      <w:hyperlink r:id="rId17" w:anchor="/document/99/608263915/ZAP2KTI3PK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подпункте «е» пункта 6 Правил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5E6B" w:rsidRPr="00275E6B" w:rsidRDefault="00275E6B" w:rsidP="007C57BF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которые подают не позднее 14 декабря:</w:t>
      </w:r>
    </w:p>
    <w:p w:rsidR="00275E6B" w:rsidRPr="00275E6B" w:rsidRDefault="00275E6B" w:rsidP="007C57BF">
      <w:pPr>
        <w:numPr>
          <w:ilvl w:val="0"/>
          <w:numId w:val="5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реестр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застрахованных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прошедших обязательные периодические осмотры в бумажном формате и на электронном носителе в формате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Excel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75E6B" w:rsidRPr="00275E6B" w:rsidRDefault="00275E6B" w:rsidP="007C57BF">
      <w:pPr>
        <w:numPr>
          <w:ilvl w:val="0"/>
          <w:numId w:val="5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 выполненных работ;</w:t>
      </w:r>
    </w:p>
    <w:p w:rsidR="00275E6B" w:rsidRPr="00275E6B" w:rsidRDefault="00275E6B" w:rsidP="007C57BF">
      <w:pPr>
        <w:numPr>
          <w:ilvl w:val="0"/>
          <w:numId w:val="5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заключительный акт по проведению периодического медицинского осмотра;</w:t>
      </w:r>
    </w:p>
    <w:p w:rsidR="00275E6B" w:rsidRPr="00275E6B" w:rsidRDefault="00275E6B" w:rsidP="007C57BF">
      <w:pPr>
        <w:numPr>
          <w:ilvl w:val="0"/>
          <w:numId w:val="5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финансовые документы, подтверждающие оплату стоимости работ, услуг.</w:t>
      </w:r>
    </w:p>
    <w:p w:rsidR="00691915" w:rsidRDefault="00691915" w:rsidP="007C57B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</w:p>
    <w:p w:rsidR="00275E6B" w:rsidRPr="007C57BF" w:rsidRDefault="00691915" w:rsidP="007C57B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5.</w:t>
      </w:r>
      <w:r w:rsidR="00275E6B" w:rsidRPr="007C57B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275E6B" w:rsidRPr="00275E6B" w:rsidRDefault="00275E6B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Можно ли возместить в СФР расходы на медосмотр сотрудников, которые работают за компьютером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Да, можно.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СФР возмещает расходы на проведение обязательных периодических медосмотров работников, которые заняты на работах с вредными и опасными производственными факторами. Это указано в </w:t>
      </w:r>
      <w:hyperlink r:id="rId18" w:anchor="/document/99/608263915/ZAP2AG03JD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подпункте «е» пункта 3 Правил финансирования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Однако стоит учитывать, что направлять на медосмотр сотрудников, которые работают на компьютере, можно, только если по результатам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спецоценки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рабочем месте вредные или опасные условия труда или есть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химфакторы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обозначены в Порядке № 29н одной из пяти букв верхнего индекса (</w:t>
      </w:r>
      <w:hyperlink r:id="rId19" w:anchor="/document/97/486916/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письмо Минтруда от 04.03.2021 № 15-2/ООГ-581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p w:rsidR="00275E6B" w:rsidRPr="00275E6B" w:rsidRDefault="00275E6B" w:rsidP="007C57B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А</w:t>
      </w: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химические вещества, способные вызывать аллергические заболевания;</w:t>
      </w:r>
    </w:p>
    <w:p w:rsidR="00275E6B" w:rsidRPr="00275E6B" w:rsidRDefault="00275E6B" w:rsidP="007C57B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Ф</w:t>
      </w: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аэрозоли преимущественно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фиброгенного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действия;</w:t>
      </w:r>
    </w:p>
    <w:p w:rsidR="00275E6B" w:rsidRPr="00275E6B" w:rsidRDefault="00275E6B" w:rsidP="007C57B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Р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 </w:t>
      </w: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вещества, опасные для репродуктивного здоровья человека;</w:t>
      </w:r>
    </w:p>
    <w:p w:rsidR="00275E6B" w:rsidRPr="00275E6B" w:rsidRDefault="00275E6B" w:rsidP="007C57B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К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канцерогенные вещества, биологические и физические факторы;</w:t>
      </w:r>
    </w:p>
    <w:p w:rsidR="00275E6B" w:rsidRPr="00275E6B" w:rsidRDefault="00275E6B" w:rsidP="007C57BF">
      <w:pPr>
        <w:numPr>
          <w:ilvl w:val="0"/>
          <w:numId w:val="6"/>
        </w:numPr>
        <w:spacing w:after="18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lastRenderedPageBreak/>
        <w:t>О</w:t>
      </w: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вещества, опасные для развития острого отравления.</w:t>
      </w:r>
    </w:p>
    <w:p w:rsidR="00275E6B" w:rsidRPr="007C57BF" w:rsidRDefault="00275E6B" w:rsidP="007C57B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91915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6.</w:t>
      </w:r>
      <w:r w:rsidRPr="007C57B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275E6B" w:rsidRPr="00275E6B" w:rsidRDefault="00275E6B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Можно ли возместить расходы за счет СФР на санаторно-курортное лечение работников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Да, можно,</w:t>
      </w: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они работают с вредными или опасными факторами либо являются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предпенсионерами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hyperlink r:id="rId20" w:anchor="/document/99/608263915/ZAP2AJC3DQ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подп. «д» п. 3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21" w:anchor="/document/99/608263915/ZAP25NK3ED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подп. «н» п. 3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Правил финансирования).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которые нужно представить в СФР не позднее 31 июля:</w:t>
      </w:r>
    </w:p>
    <w:p w:rsidR="00275E6B" w:rsidRPr="00275E6B" w:rsidRDefault="00275E6B" w:rsidP="007C57B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заключительный акт врачебной комиссии по итогам периодических медосмотров работников;</w:t>
      </w:r>
    </w:p>
    <w:p w:rsidR="00275E6B" w:rsidRPr="00275E6B" w:rsidRDefault="00275E6B" w:rsidP="007C57B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списки сотрудников, направляемых на лечение, с указанием рекомендаций;</w:t>
      </w:r>
    </w:p>
    <w:p w:rsidR="00275E6B" w:rsidRPr="00275E6B" w:rsidRDefault="00275E6B" w:rsidP="007C57B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копии договоров на покупку путевок;</w:t>
      </w:r>
    </w:p>
    <w:p w:rsidR="00275E6B" w:rsidRPr="00275E6B" w:rsidRDefault="00275E6B" w:rsidP="007C57B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калькуляция стоимости путевок.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возмещения затрат на санаторно-курортное лечение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предпенсионеров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дополнительно нужно представить:</w:t>
      </w:r>
    </w:p>
    <w:p w:rsidR="00275E6B" w:rsidRPr="00275E6B" w:rsidRDefault="00275E6B" w:rsidP="007C57B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копию справки для получения путевки на санаторно-курортное лечение по форме № 070/у, если отсутствует заключительный акт;</w:t>
      </w:r>
    </w:p>
    <w:p w:rsidR="00275E6B" w:rsidRPr="00275E6B" w:rsidRDefault="00275E6B" w:rsidP="007C57B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списки работников, которых направляют на санаторно-курортное лечение, с указанием рекомендаций из справки по форме № 070у, если отсутствует заключительный акт.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которые подают до 15 декабря:</w:t>
      </w:r>
    </w:p>
    <w:p w:rsidR="00275E6B" w:rsidRPr="00275E6B" w:rsidRDefault="00275E6B" w:rsidP="007C57B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накладная на путевки;</w:t>
      </w:r>
    </w:p>
    <w:p w:rsidR="00275E6B" w:rsidRPr="00275E6B" w:rsidRDefault="00275E6B" w:rsidP="007C57B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отрывной талон к санаторно-курортной путевке;</w:t>
      </w:r>
    </w:p>
    <w:p w:rsidR="00275E6B" w:rsidRPr="00275E6B" w:rsidRDefault="00275E6B" w:rsidP="007C57B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список работников, прошедших лечение в санаторно-курортных учреждениях;</w:t>
      </w:r>
    </w:p>
    <w:p w:rsidR="00275E6B" w:rsidRPr="00275E6B" w:rsidRDefault="00275E6B" w:rsidP="007C57B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заключительный акт по периодическим медицинским осмотрам;</w:t>
      </w:r>
    </w:p>
    <w:p w:rsidR="00275E6B" w:rsidRPr="00275E6B" w:rsidRDefault="00275E6B" w:rsidP="007C57B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лицензия организации, осуществляющей санаторно-курортное лечение работников;</w:t>
      </w:r>
    </w:p>
    <w:p w:rsidR="00275E6B" w:rsidRPr="00275E6B" w:rsidRDefault="00275E6B" w:rsidP="007C57BF">
      <w:pPr>
        <w:numPr>
          <w:ilvl w:val="0"/>
          <w:numId w:val="9"/>
        </w:numPr>
        <w:spacing w:after="18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финансовые документы, подтверждающие оплату стоимости работ, услуг.</w:t>
      </w:r>
    </w:p>
    <w:p w:rsidR="00275E6B" w:rsidRPr="007C57BF" w:rsidRDefault="00275E6B" w:rsidP="007C57B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91915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7.</w:t>
      </w:r>
      <w:r w:rsidRPr="007C57B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275E6B" w:rsidRPr="00275E6B" w:rsidRDefault="00275E6B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вернуть деньги, потраченные на обучение работников, через СФР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Можно вернуть деньги через СФР за обучение</w:t>
      </w: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работников, которых обучили в учебном центре (</w:t>
      </w:r>
      <w:hyperlink r:id="rId22" w:anchor="/document/99/608263915/XA00M2U2M0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подп. «в» п. 3 Правил финансирования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Перечень включает 11 категорий работников. 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Можно вернуть деньги через СФР за обучение работников, которых обучили в учебном центре согласно требованиям Порядка обучения № 2464 (</w:t>
      </w:r>
      <w:hyperlink r:id="rId23" w:anchor="/document/99/608263915/XA00M2U2M0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подп. «в» п. 3 Правил финансирования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К ним относятся: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руководитель организации/филиалов и их заместители, на которых приказом возложены обязанности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руководители структурных подразделений организации/филиала и их заместители;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специалисты;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специалисты по охране труда;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рабочих профессий;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комиссий по проверке знания требований охраны труда;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работники, проводящие инструктаж по охране труда и обучение требованиям охраны труда;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работник, назначенный на </w:t>
      </w:r>
      <w:proofErr w:type="spell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микропредприятии</w:t>
      </w:r>
      <w:proofErr w:type="spell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работодателем для проведения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проверки знания требований охраны труда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члены комиссий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ОТ, уполномоченные по ОТ;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работники, выполняющие работы повышенной опасности;</w:t>
      </w:r>
    </w:p>
    <w:p w:rsidR="00275E6B" w:rsidRPr="00275E6B" w:rsidRDefault="00275E6B" w:rsidP="007C57B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ответственных за организацию, выполнение и контроль работ повышенной опасности.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Включите затраты по обучению работников в текущем году в план финансового обеспечения. Как составить план, </w:t>
      </w:r>
      <w:hyperlink r:id="rId24" w:anchor="/document/86/738787/" w:tgtFrame="_self" w:tooltip="" w:history="1">
        <w:r w:rsidRPr="007C57BF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читайте в рекомендации</w:t>
        </w:r>
      </w:hyperlink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Далее оформите возврат средств из СФР на обучение работников.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этого направьте заявление в СФР не позднее 31 июля и приложите к нему пакет документов:</w:t>
      </w:r>
    </w:p>
    <w:p w:rsidR="00275E6B" w:rsidRPr="00275E6B" w:rsidRDefault="00275E6B" w:rsidP="007C57B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приказа о направлении работников на обучение;</w:t>
      </w:r>
    </w:p>
    <w:p w:rsidR="00275E6B" w:rsidRPr="00275E6B" w:rsidRDefault="00275E6B" w:rsidP="007C57B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список работников, направляемых на обучение;</w:t>
      </w:r>
    </w:p>
    <w:p w:rsidR="00275E6B" w:rsidRPr="00275E6B" w:rsidRDefault="00275E6B" w:rsidP="007C57B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договора с обучающей организацией;</w:t>
      </w:r>
    </w:p>
    <w:p w:rsidR="00275E6B" w:rsidRPr="00275E6B" w:rsidRDefault="00275E6B" w:rsidP="007C57B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 работников, подтверждающие, что они занимают должности, которые могут обучаться за счет СФР.</w:t>
      </w:r>
    </w:p>
    <w:p w:rsidR="00275E6B" w:rsidRPr="00275E6B" w:rsidRDefault="00275E6B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которые подают до 15 декабря:</w:t>
      </w:r>
    </w:p>
    <w:p w:rsidR="00275E6B" w:rsidRPr="00275E6B" w:rsidRDefault="00275E6B" w:rsidP="007C57B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 выполненных работ;</w:t>
      </w:r>
    </w:p>
    <w:p w:rsidR="00275E6B" w:rsidRPr="00275E6B" w:rsidRDefault="00275E6B" w:rsidP="007C57B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список отдельных категорий застрахованных, прошедших </w:t>
      </w:r>
      <w:proofErr w:type="gramStart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 охране</w:t>
      </w:r>
      <w:proofErr w:type="gramEnd"/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труда;</w:t>
      </w:r>
    </w:p>
    <w:p w:rsidR="00275E6B" w:rsidRPr="00275E6B" w:rsidRDefault="00275E6B" w:rsidP="007C57B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копии удостоверений об обучении;</w:t>
      </w:r>
    </w:p>
    <w:p w:rsidR="00275E6B" w:rsidRPr="00275E6B" w:rsidRDefault="00275E6B" w:rsidP="007C57B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финансовые документы, подтверждающие оплату стоимости работ, услуг (счет-фактура);</w:t>
      </w:r>
    </w:p>
    <w:p w:rsidR="00275E6B" w:rsidRPr="00275E6B" w:rsidRDefault="00275E6B" w:rsidP="007C57BF">
      <w:pPr>
        <w:numPr>
          <w:ilvl w:val="0"/>
          <w:numId w:val="12"/>
        </w:numPr>
        <w:spacing w:after="18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платежное поручение.</w:t>
      </w:r>
    </w:p>
    <w:p w:rsidR="00275E6B" w:rsidRPr="00275E6B" w:rsidRDefault="00275E6B" w:rsidP="007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36343B" w:rsidRDefault="0036343B" w:rsidP="007C57BF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</w:p>
    <w:p w:rsidR="0036343B" w:rsidRDefault="0036343B" w:rsidP="007C57BF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</w:p>
    <w:p w:rsidR="0036343B" w:rsidRDefault="0036343B" w:rsidP="007C57BF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</w:p>
    <w:p w:rsidR="00900877" w:rsidRPr="00900877" w:rsidRDefault="00691915" w:rsidP="007C57BF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  <w:lastRenderedPageBreak/>
        <w:t>8.</w:t>
      </w:r>
      <w:r w:rsidR="00900877" w:rsidRPr="00900877"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  <w:t>СИТУАЦИЯ</w:t>
      </w:r>
    </w:p>
    <w:p w:rsidR="00900877" w:rsidRPr="00900877" w:rsidRDefault="00900877" w:rsidP="007C57BF">
      <w:pPr>
        <w:shd w:val="clear" w:color="auto" w:fill="F3F8FC"/>
        <w:spacing w:before="100" w:beforeAutospacing="1" w:after="180" w:line="240" w:lineRule="auto"/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Можно ли вернуть средства из СФР за обеспечение бесплатной выдачей молока или других равноценных пищевых продуктов</w:t>
      </w:r>
    </w:p>
    <w:p w:rsidR="00900877" w:rsidRPr="00900877" w:rsidRDefault="00900877" w:rsidP="007C57BF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Да, можно.</w:t>
      </w:r>
    </w:p>
    <w:p w:rsidR="00900877" w:rsidRPr="00900877" w:rsidRDefault="00900877" w:rsidP="007C57BF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2023 года работодатель может вернуть средства из СФР за выдачу молока или других равноценных пищевых продуктов работникам, которым положена бесплатная выдача (</w:t>
      </w:r>
      <w:hyperlink r:id="rId25" w:anchor="/document/99/350112498/ZAP24LE3DV/" w:tgtFrame="_self" w:tooltip="" w:history="1">
        <w:r w:rsidRPr="0090087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подп. «р» п. 3 Правил финансирования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00877" w:rsidRPr="00900877" w:rsidRDefault="00900877" w:rsidP="007C57BF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Предоставьте четыре документа не позднее 31 июля:</w:t>
      </w:r>
    </w:p>
    <w:p w:rsidR="00900877" w:rsidRPr="00900877" w:rsidRDefault="00900877" w:rsidP="007C57BF">
      <w:pPr>
        <w:numPr>
          <w:ilvl w:val="0"/>
          <w:numId w:val="13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работников, которым бесплатно выдают молоко или другие равноценные пищевые продукты с указанием их профессий (должностей), количества дней фактической занятости на работах с вредными условиями труда, вредных производственных факторов на рабочем месте из Перечня вредных производственных факторов;</w:t>
      </w:r>
    </w:p>
    <w:p w:rsidR="00900877" w:rsidRPr="00900877" w:rsidRDefault="00900877" w:rsidP="007C57BF">
      <w:pPr>
        <w:numPr>
          <w:ilvl w:val="0"/>
          <w:numId w:val="13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копию сводной ведомости результатов СОУТ;</w:t>
      </w:r>
    </w:p>
    <w:p w:rsidR="00900877" w:rsidRPr="00900877" w:rsidRDefault="00900877" w:rsidP="007C57BF">
      <w:pPr>
        <w:numPr>
          <w:ilvl w:val="0"/>
          <w:numId w:val="13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копию договоров на закупку молока или других равноценных продуктов;</w:t>
      </w:r>
    </w:p>
    <w:p w:rsidR="00900877" w:rsidRPr="00900877" w:rsidRDefault="00900877" w:rsidP="007C57BF">
      <w:pPr>
        <w:numPr>
          <w:ilvl w:val="0"/>
          <w:numId w:val="13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расчет стоимости молока или других равноценных продуктов.</w:t>
      </w:r>
    </w:p>
    <w:p w:rsidR="00900877" w:rsidRPr="00900877" w:rsidRDefault="00900877" w:rsidP="007C57BF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которые подают не позднее 14 декабря:</w:t>
      </w:r>
    </w:p>
    <w:p w:rsidR="00900877" w:rsidRPr="00900877" w:rsidRDefault="00900877" w:rsidP="007C57BF">
      <w:pPr>
        <w:numPr>
          <w:ilvl w:val="0"/>
          <w:numId w:val="14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работников, фактически обеспеченных ЛПП, с указанием профессий или должностей работников и норм выдачи;</w:t>
      </w:r>
    </w:p>
    <w:p w:rsidR="00900877" w:rsidRPr="00900877" w:rsidRDefault="00900877" w:rsidP="007C57BF">
      <w:pPr>
        <w:numPr>
          <w:ilvl w:val="0"/>
          <w:numId w:val="14"/>
        </w:numPr>
        <w:shd w:val="clear" w:color="auto" w:fill="F3F8FC"/>
        <w:spacing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финансовые документы, подтверждающие оплату стоимости работ и услуг.</w:t>
      </w:r>
    </w:p>
    <w:p w:rsidR="007D6801" w:rsidRPr="007D6801" w:rsidRDefault="007D6801" w:rsidP="007D6801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  <w:r w:rsidRPr="007D6801"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  <w:t>9</w:t>
      </w:r>
      <w:r w:rsidRPr="007D6801"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  <w:t>.СИТУАЦИЯ</w:t>
      </w:r>
    </w:p>
    <w:p w:rsidR="00900877" w:rsidRPr="00900877" w:rsidRDefault="00900877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Можно ли вернуть средства из СФР за покупку оборудования</w:t>
      </w:r>
    </w:p>
    <w:p w:rsidR="00900877" w:rsidRPr="00900877" w:rsidRDefault="00900877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Да,</w:t>
      </w: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только за покупку приборов, устройств и оборудования для обеспечения безопасного ведения горных работ при модернизации основных производств. Это касается отечественного и импортного оборудования, аналогов которого нет в России (</w:t>
      </w:r>
      <w:hyperlink r:id="rId26" w:anchor="/document/99/350112498/ZAP2HSG3HL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подп. «п» п. 3 Правил финансирования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00877" w:rsidRPr="00900877" w:rsidRDefault="00900877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перечень приборов и устрой</w:t>
      </w:r>
      <w:proofErr w:type="gram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 дл</w:t>
      </w:r>
      <w:proofErr w:type="gram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безопасного ведения горных работ, за приобретение которых можно вернуть средства из СФР, входят (</w:t>
      </w:r>
      <w:hyperlink r:id="rId27" w:anchor="/document/99/350887211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приказ Минтруда от 23.06.2023 № 373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газоанализаторы или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дымоанализаторы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элементы систем вентиляции помещений для удаления взвешенных частиц в воздушной среде;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газоотсасывающее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дымоотсасывающее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оборудование с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шумопоглотителями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огнепреградителями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удаления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газовоздушной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дымовоздушной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среды из горных выработок;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многофункциональные системы безопасности с системами определения местоположения людей в горных выработках либо самих систем определения местоположения в горных шахтах;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системы поиска и обнаружения персонала, застигнутого аварией больше 36 часов назад от ее начала, через слой породы толщиной не меньше 20 м и разрешением 2 м;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системы контроля усталости водителей и операторов тяжелой техники и грузового транспорта,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аэрогазового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контроля, запыленности воздуха и параметров состояния здоровья работников;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системы и средства позиционирования технических устройств и персонала и аварийного оповещения;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пневмо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-воздушный транспорт для подачи инертной пыли;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модульные дегазационные установки;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компакт-станции</w:t>
      </w:r>
      <w:proofErr w:type="gram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проходческих или очистных забоев;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многофункциональные системы контроля газодинамических явлений;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мобильное вентиляционное оборудование;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системы и средства для удаления метана и других горючих и вредных газов из горных выработок, выработанных пространств, угольного массива;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системы и средства осланцевания горных выработок для обеспечения </w:t>
      </w:r>
      <w:proofErr w:type="gram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пыле</w:t>
      </w:r>
      <w:proofErr w:type="gram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/взрывобезопасности горных выработок;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системы и средства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взрывозащиты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горных выработок, локализации взрывов, контроля и прогноза газодинамических явлений;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системы и средства дистанционного контроля устойчивости откосов бортов и отвалов, включая систему деформационного контроля и систему дистанционного гидрогеологического контроля;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буровые станки для бурения дегазационных скважин;</w:t>
      </w:r>
    </w:p>
    <w:p w:rsidR="00900877" w:rsidRPr="00900877" w:rsidRDefault="00900877" w:rsidP="007C57B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средства освещения горных выработок.</w:t>
      </w:r>
    </w:p>
    <w:p w:rsidR="00900877" w:rsidRPr="00900877" w:rsidRDefault="00900877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вернуть средства, предоставьте три документа не позднее 31 июля:</w:t>
      </w:r>
    </w:p>
    <w:p w:rsidR="00900877" w:rsidRPr="00900877" w:rsidRDefault="00900877" w:rsidP="007C57BF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копию документа, который обосновывает приобретение оборудования;</w:t>
      </w:r>
    </w:p>
    <w:p w:rsidR="00900877" w:rsidRPr="00900877" w:rsidRDefault="00900877" w:rsidP="007C57BF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копию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техпроекта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которым предусмотрено приобретение оборудования для обеспечения безопасности работников или контроля за безопасным ведением работ.</w:t>
      </w:r>
      <w:proofErr w:type="gramEnd"/>
    </w:p>
    <w:p w:rsidR="00900877" w:rsidRPr="00900877" w:rsidRDefault="00900877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которые подают не позднее 14 декабря:</w:t>
      </w:r>
    </w:p>
    <w:p w:rsidR="00900877" w:rsidRPr="00900877" w:rsidRDefault="00900877" w:rsidP="007C57BF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товарная накладная;</w:t>
      </w:r>
    </w:p>
    <w:p w:rsidR="00900877" w:rsidRPr="00900877" w:rsidRDefault="00900877" w:rsidP="007C57BF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сертификат и декларация соответствия;</w:t>
      </w:r>
    </w:p>
    <w:p w:rsidR="00900877" w:rsidRPr="00900877" w:rsidRDefault="00900877" w:rsidP="007C57BF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финансовые документы, подтверждающие оплату стоимости работ, услуг.</w:t>
      </w:r>
    </w:p>
    <w:p w:rsidR="00900877" w:rsidRPr="007C57BF" w:rsidRDefault="00900877" w:rsidP="007C57B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возврате денег за импортное оборудование СФР будет принимать с учетом экспертных мнений межведомственной комиссии. Это займет 15 рабочих дней.</w:t>
      </w:r>
    </w:p>
    <w:p w:rsidR="00900877" w:rsidRPr="007C57BF" w:rsidRDefault="00900877" w:rsidP="007C57B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0877" w:rsidRPr="00900877" w:rsidRDefault="007D6801" w:rsidP="007C5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10.</w:t>
      </w:r>
      <w:r w:rsidR="00900877" w:rsidRPr="00900877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900877" w:rsidRPr="00900877" w:rsidRDefault="00900877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Может ли СФР требовать пояснительную записку о причинах проведения СОУТ</w:t>
      </w:r>
    </w:p>
    <w:p w:rsidR="00900877" w:rsidRPr="00900877" w:rsidRDefault="00900877" w:rsidP="007C57B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lastRenderedPageBreak/>
        <w:t>Законодательство не требует оформлять и представлять в СФР</w:t>
      </w: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пояснительную записку с обоснованием причин </w:t>
      </w:r>
      <w:proofErr w:type="spellStart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спецоценки</w:t>
      </w:r>
      <w:proofErr w:type="spellEnd"/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В СФР нужно представить только </w:t>
      </w:r>
      <w:hyperlink r:id="rId28" w:anchor="/document/16/148590/dfas1ihyo9/" w:history="1">
        <w:r w:rsidRPr="0090087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комплект документов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перечислены в </w:t>
      </w:r>
      <w:hyperlink r:id="rId29" w:anchor="/document/99/608263915/ZAP3C7M40N/" w:tgtFrame="_self" w:tooltip="" w:history="1">
        <w:r w:rsidRPr="0090087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подпункте «а» пункта 6 Правил финансирования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Поэтому у СФР нет правовых оснований требовать оформить и представить пояснительную записку. При этом работодатель по своему усмотрению может составить подобную записку в произвольной форме, например: «Специальная оценка условий труда в ООО «Альфа» проводилась в январе 2018 года во исполнение требований </w:t>
      </w:r>
      <w:hyperlink r:id="rId30" w:anchor="/document/99/901807664/XA00MCS2N5/" w:tgtFrame="_self" w:tooltip="" w:history="1">
        <w:r w:rsidRPr="0090087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статьи 214 ТК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статей </w:t>
      </w:r>
      <w:hyperlink r:id="rId31" w:anchor="/document/99/499067392/XA00LVS2MC/" w:tooltip="" w:history="1">
        <w:r w:rsidRPr="0090087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2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32" w:anchor="/document/99/499067392/XA00M2U2M0/" w:tooltip="" w:history="1">
        <w:r w:rsidRPr="0090087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3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33" w:anchor="/document/99/499067392/XA00M7G2MM/" w:tooltip="" w:history="1">
        <w:r w:rsidRPr="0090087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4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34" w:anchor="/document/99/499067392/XA00MEG2NB/" w:tooltip="" w:history="1">
        <w:r w:rsidRPr="0090087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17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28.12.2013 № 426-ФЗ «О специальной оценке условий труда».</w:t>
      </w:r>
    </w:p>
    <w:p w:rsidR="00900877" w:rsidRPr="007C57BF" w:rsidRDefault="00900877" w:rsidP="007C57B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D680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 xml:space="preserve">11. </w:t>
      </w:r>
      <w:r w:rsidRPr="007C57B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900877" w:rsidRPr="00900877" w:rsidRDefault="00900877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Можно ли восстановить срок подачи заявления в СФР по возмещению расходов на охрану труда</w:t>
      </w:r>
    </w:p>
    <w:p w:rsidR="00900877" w:rsidRPr="00900877" w:rsidRDefault="00900877" w:rsidP="007C57B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Нет, нельзя.</w:t>
      </w:r>
    </w:p>
    <w:p w:rsidR="00900877" w:rsidRPr="00900877" w:rsidRDefault="00900877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hyperlink r:id="rId35" w:anchor="/document/99/608263915/ZAP233I3CH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Правилах финансирования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подача заявления после 31 июля не предусмотрена.</w:t>
      </w:r>
    </w:p>
    <w:p w:rsidR="007D6801" w:rsidRDefault="00900877" w:rsidP="007D68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hyperlink r:id="rId36" w:anchor="/document/99/608263915/ZAP2AAO3HI/" w:tgtFrame="_self" w:tooltip="" w:history="1">
        <w:r w:rsidRPr="007C57B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пункте 12 Правил финансирования</w:t>
        </w:r>
      </w:hyperlink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указано, что при отказе СФР в приеме заявления по каким-либо основаниям страхователь может повторно обратиться с заявлением в территориальный орган СФР, но не позднее 31 июля.</w:t>
      </w:r>
    </w:p>
    <w:p w:rsidR="007C57BF" w:rsidRPr="007D6801" w:rsidRDefault="00900877" w:rsidP="007D6801">
      <w:pPr>
        <w:spacing w:after="18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00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C57BF" w:rsidRPr="007D6801">
        <w:rPr>
          <w:rFonts w:ascii="Times New Roman" w:eastAsia="Times New Roman" w:hAnsi="Times New Roman" w:cs="Times New Roman"/>
          <w:b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7C57BF" w:rsidRPr="007C57BF" w:rsidRDefault="007C57BF" w:rsidP="007C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документы приложить к заявлению о возмещении произведенных расходов на оплату предупредительных мер</w:t>
      </w:r>
    </w:p>
    <w:p w:rsidR="007C57BF" w:rsidRPr="007C57BF" w:rsidRDefault="007C57BF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ООО «Гамма» возвращают средства за </w:t>
      </w:r>
      <w:proofErr w:type="spellStart"/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спецоценку</w:t>
      </w:r>
      <w:proofErr w:type="spellEnd"/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приобретение аптечек. Поэтому прикладывают документы, которые подтверждают целевой расход средств на эти мероприятия. </w:t>
      </w:r>
    </w:p>
    <w:p w:rsidR="007C57BF" w:rsidRPr="007C57BF" w:rsidRDefault="007C57BF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Документы для </w:t>
      </w:r>
      <w:proofErr w:type="spellStart"/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спецоценки</w:t>
      </w:r>
      <w:proofErr w:type="spellEnd"/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</w:p>
    <w:p w:rsidR="007C57BF" w:rsidRPr="007C57BF" w:rsidRDefault="007C57BF" w:rsidP="007C57BF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договор об оказании услуг;</w:t>
      </w:r>
    </w:p>
    <w:p w:rsidR="007C57BF" w:rsidRPr="007C57BF" w:rsidRDefault="007C57BF" w:rsidP="007C57BF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 оказанных услуг.</w:t>
      </w:r>
    </w:p>
    <w:p w:rsidR="007C57BF" w:rsidRPr="007C57BF" w:rsidRDefault="007C57BF" w:rsidP="007C57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 для приобретенных аптечек:</w:t>
      </w:r>
    </w:p>
    <w:p w:rsidR="007C57BF" w:rsidRPr="007C57BF" w:rsidRDefault="007C57BF" w:rsidP="007C57B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договор купли-продажи;</w:t>
      </w:r>
    </w:p>
    <w:p w:rsidR="007C57BF" w:rsidRPr="007C57BF" w:rsidRDefault="007C57BF" w:rsidP="007C57B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платежная накладная;</w:t>
      </w:r>
    </w:p>
    <w:p w:rsidR="007C57BF" w:rsidRPr="007C57BF" w:rsidRDefault="007C57BF" w:rsidP="007D6801">
      <w:pPr>
        <w:numPr>
          <w:ilvl w:val="0"/>
          <w:numId w:val="19"/>
        </w:numPr>
        <w:spacing w:after="18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платежное поручение.</w:t>
      </w:r>
    </w:p>
    <w:p w:rsidR="00ED1DDE" w:rsidRDefault="007C57BF" w:rsidP="00ED1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7C57BF" w:rsidRPr="007C57BF" w:rsidRDefault="007C57BF" w:rsidP="00ED1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bookmarkStart w:id="0" w:name="_GoBack"/>
      <w:bookmarkEnd w:id="0"/>
      <w:r w:rsidRPr="007C57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получить деньги от СФР</w:t>
      </w:r>
    </w:p>
    <w:p w:rsidR="007C57BF" w:rsidRPr="007C57BF" w:rsidRDefault="007C57BF" w:rsidP="007C57B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Специалист по охране труд</w:t>
      </w:r>
      <w:proofErr w:type="gramStart"/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 ООО</w:t>
      </w:r>
      <w:proofErr w:type="gramEnd"/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«Гамма» направил в СФР заявление о возмещении произведенных расходов на оплату предупредительных мер 13 декабря 2024 года, в нем указал расчетный счет страхователя, приложил документы, которые подтверждают расходы. СФР рассмотрел заявление и пакет документов в течение пяти рабочих дней и направил деньги работодателю на его расчетный счет 17 декабря 2024 года. Деньги поступили на счет работодателю 20 декабря 2024 года. </w:t>
      </w:r>
    </w:p>
    <w:p w:rsidR="007C57BF" w:rsidRPr="007C57BF" w:rsidRDefault="007C57BF" w:rsidP="007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7D6801" w:rsidRPr="007C57BF" w:rsidRDefault="007D6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6801" w:rsidRPr="007C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8D8"/>
    <w:multiLevelType w:val="multilevel"/>
    <w:tmpl w:val="9F3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5416B"/>
    <w:multiLevelType w:val="multilevel"/>
    <w:tmpl w:val="C91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635AC"/>
    <w:multiLevelType w:val="multilevel"/>
    <w:tmpl w:val="9732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64CCE"/>
    <w:multiLevelType w:val="multilevel"/>
    <w:tmpl w:val="89D6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4289A"/>
    <w:multiLevelType w:val="multilevel"/>
    <w:tmpl w:val="AA40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B5668"/>
    <w:multiLevelType w:val="multilevel"/>
    <w:tmpl w:val="397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17300"/>
    <w:multiLevelType w:val="multilevel"/>
    <w:tmpl w:val="1BD8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F6CBC"/>
    <w:multiLevelType w:val="multilevel"/>
    <w:tmpl w:val="900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C54F5"/>
    <w:multiLevelType w:val="multilevel"/>
    <w:tmpl w:val="EBA6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83F53"/>
    <w:multiLevelType w:val="multilevel"/>
    <w:tmpl w:val="2C52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92B00"/>
    <w:multiLevelType w:val="multilevel"/>
    <w:tmpl w:val="D1C2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32B5A"/>
    <w:multiLevelType w:val="multilevel"/>
    <w:tmpl w:val="A2D4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23673"/>
    <w:multiLevelType w:val="multilevel"/>
    <w:tmpl w:val="18AA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22047"/>
    <w:multiLevelType w:val="multilevel"/>
    <w:tmpl w:val="FE2A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95725"/>
    <w:multiLevelType w:val="multilevel"/>
    <w:tmpl w:val="DC1A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1153E"/>
    <w:multiLevelType w:val="multilevel"/>
    <w:tmpl w:val="5A0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365B1"/>
    <w:multiLevelType w:val="multilevel"/>
    <w:tmpl w:val="04F4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9507F"/>
    <w:multiLevelType w:val="multilevel"/>
    <w:tmpl w:val="9A0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FC6FE6"/>
    <w:multiLevelType w:val="multilevel"/>
    <w:tmpl w:val="49D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16"/>
  </w:num>
  <w:num w:numId="11">
    <w:abstractNumId w:val="18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3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14"/>
    <w:rsid w:val="0007272E"/>
    <w:rsid w:val="000D0FE9"/>
    <w:rsid w:val="00175714"/>
    <w:rsid w:val="00275E6B"/>
    <w:rsid w:val="0036343B"/>
    <w:rsid w:val="00691915"/>
    <w:rsid w:val="007C57BF"/>
    <w:rsid w:val="007D6801"/>
    <w:rsid w:val="00900877"/>
    <w:rsid w:val="00E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5E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D6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5E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D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6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2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4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54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6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1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7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04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1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3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2024-07-11T04:23:00Z</dcterms:created>
  <dcterms:modified xsi:type="dcterms:W3CDTF">2024-07-11T04:41:00Z</dcterms:modified>
</cp:coreProperties>
</file>