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93" w:rsidRDefault="00E75893" w:rsidP="00E75893">
      <w:pPr>
        <w:jc w:val="center"/>
        <w:rPr>
          <w:b/>
        </w:rPr>
      </w:pPr>
      <w:r w:rsidRPr="002A31C6">
        <w:rPr>
          <w:b/>
        </w:rPr>
        <w:t>Порядок и условия получения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2A31C6" w:rsidRPr="002A31C6" w:rsidRDefault="002A31C6" w:rsidP="00E75893">
      <w:pPr>
        <w:jc w:val="center"/>
        <w:rPr>
          <w:b/>
        </w:rPr>
      </w:pPr>
    </w:p>
    <w:p w:rsidR="00E75893" w:rsidRPr="002A31C6" w:rsidRDefault="00E75893" w:rsidP="00E75893">
      <w:pPr>
        <w:ind w:firstLine="708"/>
        <w:jc w:val="both"/>
        <w:rPr>
          <w:rFonts w:cs="Times New Roman"/>
          <w:b/>
          <w:szCs w:val="28"/>
        </w:rPr>
      </w:pPr>
      <w:r w:rsidRPr="002A31C6">
        <w:rPr>
          <w:rFonts w:cs="Times New Roman"/>
          <w:b/>
          <w:szCs w:val="28"/>
        </w:rPr>
        <w:t>Перечень документов, необходимых для предоставления муниципальной услуги в части выдачи разрешения на строительство:</w:t>
      </w:r>
    </w:p>
    <w:p w:rsidR="00E75893" w:rsidRPr="00E42F23" w:rsidRDefault="00E75893" w:rsidP="00E75893">
      <w:pPr>
        <w:ind w:firstLine="708"/>
        <w:jc w:val="both"/>
        <w:rPr>
          <w:rFonts w:cs="Times New Roman"/>
          <w:szCs w:val="28"/>
        </w:rPr>
      </w:pPr>
      <w:r w:rsidRPr="00E42F23">
        <w:rPr>
          <w:rFonts w:cs="Times New Roman"/>
          <w:szCs w:val="28"/>
        </w:rPr>
        <w:t>1) документ, удостоверяющий личность лица, обратившегося с заявлением (для идентификации личности);</w:t>
      </w:r>
    </w:p>
    <w:p w:rsidR="00E75893" w:rsidRPr="00E42F23" w:rsidRDefault="00E75893" w:rsidP="00E75893">
      <w:pPr>
        <w:ind w:firstLine="708"/>
        <w:jc w:val="both"/>
        <w:rPr>
          <w:rFonts w:cs="Times New Roman"/>
          <w:szCs w:val="28"/>
        </w:rPr>
      </w:pPr>
      <w:r w:rsidRPr="00E42F23">
        <w:rPr>
          <w:rFonts w:cs="Times New Roman"/>
          <w:szCs w:val="28"/>
        </w:rPr>
        <w:t>2) заявление о выдаче разрешения на строительство</w:t>
      </w:r>
      <w:r>
        <w:rPr>
          <w:rFonts w:cs="Times New Roman"/>
          <w:szCs w:val="28"/>
        </w:rPr>
        <w:t xml:space="preserve"> по примерной форме, содержащейся в</w:t>
      </w:r>
      <w:r w:rsidRPr="00E42F23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и</w:t>
      </w:r>
      <w:r w:rsidRPr="00E42F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2 </w:t>
      </w:r>
      <w:r w:rsidRPr="00E42F23">
        <w:rPr>
          <w:rFonts w:cs="Times New Roman"/>
          <w:szCs w:val="28"/>
        </w:rPr>
        <w:t xml:space="preserve"> к</w:t>
      </w:r>
      <w:r>
        <w:rPr>
          <w:rFonts w:cs="Times New Roman"/>
          <w:szCs w:val="28"/>
        </w:rPr>
        <w:t xml:space="preserve"> </w:t>
      </w:r>
      <w:r w:rsidRPr="00E42F23">
        <w:rPr>
          <w:rFonts w:cs="Times New Roman"/>
          <w:szCs w:val="28"/>
        </w:rPr>
        <w:t xml:space="preserve"> настоящему </w:t>
      </w:r>
      <w:r>
        <w:rPr>
          <w:rFonts w:cs="Times New Roman"/>
          <w:szCs w:val="28"/>
        </w:rPr>
        <w:t>постановлению</w:t>
      </w:r>
      <w:r w:rsidRPr="00E42F23">
        <w:rPr>
          <w:rFonts w:cs="Times New Roman"/>
          <w:szCs w:val="28"/>
        </w:rPr>
        <w:t>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color w:val="FF0000"/>
          <w:szCs w:val="28"/>
        </w:rPr>
        <w:t xml:space="preserve">          </w:t>
      </w:r>
      <w:proofErr w:type="gramStart"/>
      <w:r>
        <w:rPr>
          <w:rFonts w:cs="Times New Roman"/>
          <w:szCs w:val="28"/>
        </w:rPr>
        <w:t xml:space="preserve"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4" w:history="1">
        <w:r w:rsidRPr="001820BB">
          <w:rPr>
            <w:rFonts w:cs="Times New Roman"/>
            <w:szCs w:val="28"/>
          </w:rPr>
          <w:t>частью</w:t>
        </w:r>
        <w:r>
          <w:rPr>
            <w:rFonts w:cs="Times New Roman"/>
            <w:szCs w:val="28"/>
          </w:rPr>
          <w:t xml:space="preserve"> </w:t>
        </w:r>
        <w:r w:rsidRPr="001820BB">
          <w:rPr>
            <w:rFonts w:cs="Times New Roman"/>
            <w:szCs w:val="28"/>
          </w:rPr>
          <w:t xml:space="preserve"> 1.1 статьи 57.3</w:t>
        </w:r>
        <w:proofErr w:type="gramEnd"/>
      </w:hyperlink>
      <w:r>
        <w:rPr>
          <w:rFonts w:cs="Times New Roman"/>
          <w:szCs w:val="28"/>
        </w:rPr>
        <w:t xml:space="preserve">   Градостроительного Кодекса;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proofErr w:type="gramStart"/>
      <w:r>
        <w:rPr>
          <w:rFonts w:cs="Times New Roman"/>
          <w:szCs w:val="28"/>
        </w:rPr>
        <w:t xml:space="preserve">при наличии соглашения о передаче в случаях, установленных бюджетным </w:t>
      </w:r>
      <w:hyperlink r:id="rId5" w:history="1">
        <w:r w:rsidRPr="001820BB">
          <w:rPr>
            <w:rFonts w:cs="Times New Roman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cs="Times New Roman"/>
          <w:szCs w:val="28"/>
        </w:rPr>
        <w:t>Росатом</w:t>
      </w:r>
      <w:proofErr w:type="spellEnd"/>
      <w:r>
        <w:rPr>
          <w:rFonts w:cs="Times New Roman"/>
          <w:szCs w:val="28"/>
        </w:rPr>
        <w:t>", Государственной корпорацией по космической деятельности "</w:t>
      </w:r>
      <w:proofErr w:type="spellStart"/>
      <w:r>
        <w:rPr>
          <w:rFonts w:cs="Times New Roman"/>
          <w:szCs w:val="28"/>
        </w:rPr>
        <w:t>Роскосмос</w:t>
      </w:r>
      <w:proofErr w:type="spellEnd"/>
      <w:r>
        <w:rPr>
          <w:rFonts w:cs="Times New Roman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proofErr w:type="gramStart"/>
      <w:r>
        <w:rPr>
          <w:rFonts w:cs="Times New Roman"/>
          <w:szCs w:val="28"/>
        </w:rPr>
        <w:t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случае</w:t>
      </w:r>
      <w:proofErr w:type="gramEnd"/>
      <w:r>
        <w:rPr>
          <w:rFonts w:cs="Times New Roman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5) результаты инженерных изысканий и следующие материалы, содержащиеся в утвержденной в соответствии с </w:t>
      </w:r>
      <w:hyperlink r:id="rId6" w:history="1">
        <w:r w:rsidRPr="001820BB">
          <w:rPr>
            <w:rFonts w:cs="Times New Roman"/>
            <w:szCs w:val="28"/>
          </w:rPr>
          <w:t>частью 15 статьи 48</w:t>
        </w:r>
      </w:hyperlink>
      <w:r>
        <w:rPr>
          <w:rFonts w:cs="Times New Roman"/>
          <w:szCs w:val="28"/>
        </w:rPr>
        <w:t xml:space="preserve"> настоящего Кодекса проектной документации: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пояснительная записка;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proofErr w:type="gramStart"/>
      <w:r>
        <w:rPr>
          <w:rFonts w:cs="Times New Roman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</w:t>
      </w:r>
      <w:r>
        <w:rPr>
          <w:rFonts w:cs="Times New Roman"/>
          <w:szCs w:val="28"/>
        </w:rPr>
        <w:lastRenderedPageBreak/>
        <w:t>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proofErr w:type="gramStart"/>
      <w:r>
        <w:rPr>
          <w:rFonts w:cs="Times New Roman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proofErr w:type="gramStart"/>
      <w:r>
        <w:rPr>
          <w:rFonts w:cs="Times New Roman"/>
          <w:szCs w:val="28"/>
        </w:rPr>
        <w:t xml:space="preserve"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7" w:history="1">
        <w:r w:rsidRPr="001820BB">
          <w:rPr>
            <w:rFonts w:cs="Times New Roman"/>
            <w:szCs w:val="28"/>
          </w:rPr>
          <w:t>частью 12.1 статьи 48</w:t>
        </w:r>
      </w:hyperlink>
      <w:r w:rsidRPr="001820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Градостроительного Кодекса), если такая проектная документация подлежит экспертизе в соответствии со </w:t>
      </w:r>
      <w:hyperlink r:id="rId8" w:history="1">
        <w:r w:rsidRPr="001820BB">
          <w:rPr>
            <w:rFonts w:cs="Times New Roman"/>
            <w:szCs w:val="28"/>
          </w:rPr>
          <w:t>статьей</w:t>
        </w:r>
        <w:proofErr w:type="gramEnd"/>
        <w:r w:rsidRPr="001820BB">
          <w:rPr>
            <w:rFonts w:cs="Times New Roman"/>
            <w:szCs w:val="28"/>
          </w:rPr>
          <w:t xml:space="preserve"> 49</w:t>
        </w:r>
      </w:hyperlink>
      <w:r>
        <w:rPr>
          <w:rFonts w:cs="Times New Roman"/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9" w:history="1">
        <w:r w:rsidRPr="001820BB">
          <w:rPr>
            <w:rFonts w:cs="Times New Roman"/>
            <w:szCs w:val="28"/>
          </w:rPr>
          <w:t>частью 3.4 статьи 49</w:t>
        </w:r>
      </w:hyperlink>
      <w:r>
        <w:rPr>
          <w:rFonts w:cs="Times New Roman"/>
          <w:szCs w:val="28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0" w:history="1">
        <w:r w:rsidRPr="001820BB">
          <w:rPr>
            <w:rFonts w:cs="Times New Roman"/>
            <w:szCs w:val="28"/>
          </w:rPr>
          <w:t>частью 6 статьи 49</w:t>
        </w:r>
      </w:hyperlink>
      <w:r>
        <w:rPr>
          <w:rFonts w:cs="Times New Roman"/>
          <w:szCs w:val="28"/>
        </w:rPr>
        <w:t xml:space="preserve"> Градостроительного Кодекса;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proofErr w:type="gramStart"/>
      <w:r>
        <w:rPr>
          <w:rFonts w:cs="Times New Roman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1" w:history="1">
        <w:r w:rsidRPr="000D18AB">
          <w:rPr>
            <w:rFonts w:cs="Times New Roman"/>
            <w:szCs w:val="28"/>
          </w:rPr>
          <w:t>части 3.8 статьи 49</w:t>
        </w:r>
      </w:hyperlink>
      <w:r>
        <w:rPr>
          <w:rFonts w:cs="Times New Roman"/>
          <w:szCs w:val="28"/>
        </w:rPr>
        <w:t xml:space="preserve"> Градостроительного Кодекса, предоставленное лицом, являющимся членом </w:t>
      </w:r>
      <w:proofErr w:type="spellStart"/>
      <w:r>
        <w:rPr>
          <w:rFonts w:cs="Times New Roman"/>
          <w:szCs w:val="28"/>
        </w:rPr>
        <w:t>саморегулируемой</w:t>
      </w:r>
      <w:proofErr w:type="spellEnd"/>
      <w:r>
        <w:rPr>
          <w:rFonts w:cs="Times New Roman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>
        <w:rPr>
          <w:rFonts w:cs="Times New Roman"/>
          <w:szCs w:val="28"/>
        </w:rPr>
        <w:t xml:space="preserve"> </w:t>
      </w:r>
      <w:hyperlink r:id="rId12" w:history="1">
        <w:r w:rsidRPr="000D18AB">
          <w:rPr>
            <w:rFonts w:cs="Times New Roman"/>
            <w:szCs w:val="28"/>
          </w:rPr>
          <w:t>частью 3.8 статьи 49</w:t>
        </w:r>
      </w:hyperlink>
      <w:r>
        <w:rPr>
          <w:rFonts w:cs="Times New Roman"/>
          <w:szCs w:val="28"/>
        </w:rPr>
        <w:t xml:space="preserve">  Градостроительного</w:t>
      </w:r>
      <w:r w:rsidRPr="000D18AB">
        <w:rPr>
          <w:rFonts w:cs="Times New Roman"/>
          <w:szCs w:val="28"/>
        </w:rPr>
        <w:t xml:space="preserve"> Кодекса;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proofErr w:type="gramStart"/>
      <w:r>
        <w:rPr>
          <w:rFonts w:cs="Times New Roman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3" w:history="1">
        <w:r w:rsidRPr="000D18AB">
          <w:rPr>
            <w:rFonts w:cs="Times New Roman"/>
            <w:szCs w:val="28"/>
          </w:rPr>
          <w:t>части 3.9 статьи 49</w:t>
        </w:r>
      </w:hyperlink>
      <w:r>
        <w:rPr>
          <w:rFonts w:cs="Times New Roman"/>
          <w:szCs w:val="28"/>
        </w:rPr>
        <w:t xml:space="preserve"> Градостроительного Кодекса, предоставленное органом исполнительной </w:t>
      </w:r>
      <w:r>
        <w:rPr>
          <w:rFonts w:cs="Times New Roman"/>
          <w:szCs w:val="28"/>
        </w:rPr>
        <w:lastRenderedPageBreak/>
        <w:t xml:space="preserve">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4" w:history="1">
        <w:r w:rsidRPr="000D18AB">
          <w:rPr>
            <w:rFonts w:cs="Times New Roman"/>
            <w:szCs w:val="28"/>
          </w:rPr>
          <w:t>частью 3.9 статьи 49</w:t>
        </w:r>
      </w:hyperlink>
      <w:r w:rsidRPr="000D18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 Кодекса;</w:t>
      </w:r>
      <w:proofErr w:type="gramEnd"/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Pr="0079373A">
          <w:rPr>
            <w:rFonts w:cs="Times New Roman"/>
            <w:szCs w:val="28"/>
          </w:rPr>
          <w:t>статьей</w:t>
        </w:r>
        <w:r>
          <w:rPr>
            <w:rFonts w:cs="Times New Roman"/>
            <w:szCs w:val="28"/>
          </w:rPr>
          <w:t xml:space="preserve"> </w:t>
        </w:r>
        <w:r w:rsidRPr="0079373A">
          <w:rPr>
            <w:rFonts w:cs="Times New Roman"/>
            <w:szCs w:val="28"/>
          </w:rPr>
          <w:t xml:space="preserve"> 40</w:t>
        </w:r>
      </w:hyperlink>
      <w:r>
        <w:rPr>
          <w:rFonts w:cs="Times New Roman"/>
          <w:szCs w:val="28"/>
        </w:rPr>
        <w:t xml:space="preserve">  Градостроительного  Кодекса);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5" w:history="1">
        <w:r w:rsidRPr="0079373A">
          <w:rPr>
            <w:rFonts w:cs="Times New Roman"/>
            <w:szCs w:val="28"/>
          </w:rPr>
          <w:t>пункте 6.2</w:t>
        </w:r>
      </w:hyperlink>
      <w:r w:rsidRPr="007937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настоящей части случаев реконструкции многоквартирного дома;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proofErr w:type="gramStart"/>
      <w:r>
        <w:rPr>
          <w:rFonts w:cs="Times New Roman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cs="Times New Roman"/>
          <w:szCs w:val="28"/>
        </w:rPr>
        <w:t>Росатом</w:t>
      </w:r>
      <w:proofErr w:type="spellEnd"/>
      <w:r>
        <w:rPr>
          <w:rFonts w:cs="Times New Roman"/>
          <w:szCs w:val="28"/>
        </w:rPr>
        <w:t>", Государственной корпорацией по космической деятельности "</w:t>
      </w:r>
      <w:proofErr w:type="spellStart"/>
      <w:r>
        <w:rPr>
          <w:rFonts w:cs="Times New Roman"/>
          <w:szCs w:val="28"/>
        </w:rPr>
        <w:t>Роскосмос</w:t>
      </w:r>
      <w:proofErr w:type="spellEnd"/>
      <w:r>
        <w:rPr>
          <w:rFonts w:cs="Times New Roman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>
        <w:rPr>
          <w:rFonts w:cs="Times New Roman"/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>
        <w:rPr>
          <w:rFonts w:cs="Times New Roman"/>
          <w:szCs w:val="28"/>
        </w:rPr>
        <w:t>определяющее</w:t>
      </w:r>
      <w:proofErr w:type="gramEnd"/>
      <w:r>
        <w:rPr>
          <w:rFonts w:cs="Times New Roman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  <w:bookmarkStart w:id="0" w:name="Par25"/>
      <w:bookmarkEnd w:id="0"/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решение общего собрания собственников помещений и </w:t>
      </w:r>
      <w:proofErr w:type="spellStart"/>
      <w:r>
        <w:rPr>
          <w:rFonts w:cs="Times New Roman"/>
          <w:szCs w:val="28"/>
        </w:rPr>
        <w:t>машино-мест</w:t>
      </w:r>
      <w:proofErr w:type="spellEnd"/>
      <w:r>
        <w:rPr>
          <w:rFonts w:cs="Times New Roman"/>
          <w:szCs w:val="28"/>
        </w:rPr>
        <w:t xml:space="preserve"> в многоквартирном доме, принятое в соответствии с жилищным </w:t>
      </w:r>
      <w:hyperlink r:id="rId16" w:history="1">
        <w:r w:rsidRPr="0079373A">
          <w:rPr>
            <w:rFonts w:cs="Times New Roman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rFonts w:cs="Times New Roman"/>
          <w:szCs w:val="28"/>
        </w:rPr>
        <w:t>машино-мест</w:t>
      </w:r>
      <w:proofErr w:type="spellEnd"/>
      <w:r>
        <w:rPr>
          <w:rFonts w:cs="Times New Roman"/>
          <w:szCs w:val="28"/>
        </w:rPr>
        <w:t xml:space="preserve"> в многоквартирном доме;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75893" w:rsidRDefault="00E75893" w:rsidP="00E7589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proofErr w:type="gramStart"/>
      <w:r>
        <w:rPr>
          <w:rFonts w:cs="Times New Roman"/>
          <w:szCs w:val="28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7" w:history="1">
        <w:r w:rsidRPr="0079373A">
          <w:rPr>
            <w:rFonts w:cs="Times New Roman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подлежит установлению зона с </w:t>
      </w:r>
      <w:r>
        <w:rPr>
          <w:rFonts w:cs="Times New Roman"/>
          <w:szCs w:val="28"/>
        </w:rPr>
        <w:lastRenderedPageBreak/>
        <w:t>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rPr>
          <w:rFonts w:cs="Times New Roman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E75893" w:rsidRDefault="00E75893" w:rsidP="00E7589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2A31C6" w:rsidRPr="002A31C6" w:rsidRDefault="002A31C6" w:rsidP="002A31C6">
      <w:pPr>
        <w:ind w:firstLine="708"/>
        <w:jc w:val="both"/>
        <w:rPr>
          <w:rFonts w:cs="Times New Roman"/>
          <w:b/>
          <w:szCs w:val="28"/>
        </w:rPr>
      </w:pPr>
      <w:r w:rsidRPr="002A31C6">
        <w:rPr>
          <w:rFonts w:cs="Times New Roman"/>
          <w:b/>
          <w:szCs w:val="28"/>
        </w:rPr>
        <w:t xml:space="preserve">Для получения муниципальной услуги в части внесения изменений в разрешение на строительство, за исключением  </w:t>
      </w:r>
      <w:proofErr w:type="gramStart"/>
      <w:r w:rsidRPr="002A31C6">
        <w:rPr>
          <w:rFonts w:cs="Times New Roman"/>
          <w:b/>
          <w:szCs w:val="28"/>
        </w:rPr>
        <w:t>необходимости продления срока действия разрешения</w:t>
      </w:r>
      <w:proofErr w:type="gramEnd"/>
      <w:r w:rsidRPr="002A31C6">
        <w:rPr>
          <w:rFonts w:cs="Times New Roman"/>
          <w:b/>
          <w:szCs w:val="28"/>
        </w:rPr>
        <w:t xml:space="preserve"> на строительство, заявитель подает: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документ, удостоверяющий личность лица, обратившегося с заявлением (для идентификации личности);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заявление о внесении изменений в разрешение на строительство по примерной форме, содержащейся в приложении 3 к настоящему административному регламенту;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документы, предусмотренные пунктом 9 настоящего административного регламента.</w:t>
      </w:r>
    </w:p>
    <w:p w:rsidR="002A31C6" w:rsidRPr="002A31C6" w:rsidRDefault="002A31C6" w:rsidP="002A31C6">
      <w:pPr>
        <w:ind w:firstLine="708"/>
        <w:jc w:val="both"/>
        <w:rPr>
          <w:rFonts w:cs="Times New Roman"/>
          <w:b/>
          <w:szCs w:val="28"/>
        </w:rPr>
      </w:pPr>
      <w:proofErr w:type="gramStart"/>
      <w:r w:rsidRPr="002A31C6">
        <w:rPr>
          <w:rFonts w:cs="Times New Roman"/>
          <w:b/>
          <w:szCs w:val="28"/>
        </w:rPr>
        <w:t>Для получения муниципальной услуги в части внесения изменений в разрешение на строительство исключительно в связи</w:t>
      </w:r>
      <w:proofErr w:type="gramEnd"/>
      <w:r w:rsidRPr="002A31C6">
        <w:rPr>
          <w:rFonts w:cs="Times New Roman"/>
          <w:b/>
          <w:szCs w:val="28"/>
        </w:rPr>
        <w:t xml:space="preserve"> с продлением срока действия такого разрешения, заявитель подает: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документ, удостоверяющий личность лица, обратившегося с заявлением (для идентификации личности);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заявление о внесении изменений в разрешение на строительство по форме согласно приложению 3 к настоящему административному регламенту.</w:t>
      </w:r>
    </w:p>
    <w:p w:rsidR="002A31C6" w:rsidRPr="002A31C6" w:rsidRDefault="002A31C6" w:rsidP="002A31C6">
      <w:pPr>
        <w:ind w:firstLine="708"/>
        <w:jc w:val="both"/>
        <w:rPr>
          <w:rFonts w:cs="Times New Roman"/>
          <w:b/>
          <w:szCs w:val="28"/>
        </w:rPr>
      </w:pPr>
      <w:proofErr w:type="gramStart"/>
      <w:r w:rsidRPr="002A31C6">
        <w:rPr>
          <w:rFonts w:cs="Times New Roman"/>
          <w:b/>
          <w:szCs w:val="28"/>
        </w:rPr>
        <w:t>Для получения муниципальной услуги в части внесения в разрешение на строительство сведений о переходе</w:t>
      </w:r>
      <w:proofErr w:type="gramEnd"/>
      <w:r w:rsidRPr="002A31C6">
        <w:rPr>
          <w:rFonts w:cs="Times New Roman"/>
          <w:b/>
          <w:szCs w:val="28"/>
        </w:rPr>
        <w:t xml:space="preserve"> прав на земельный участок, прав пользования недрами, об образовании земельного участка заявитель, являющийся лицом, указанным в частях 21.5 - 21.7 и 21.9 статьи 51 Градостроительного кодекса Российской Федерации, предоставляют в отдел архитектуры: 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документ, удостоверяющий личность лица, обратившегося с заявлением (для идентификации личности);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уведомление по форме согласно приложению 4 к настоящему административному регламенту с указанием реквизитов: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правоустанавливающих документов на такие земельные участки в случае, указанном в части 21.5 статьи 51 Градостроительного кодекса Российской Федерации;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решения об образовании земельных участков в случаях, предусмотренных частями 21.6, 21.7 статьи, если в соответствии с земельным законодательством решение об использовании земельного участка принимает исполнительный орган государственной власти или орган местного самоуправления;</w:t>
      </w:r>
    </w:p>
    <w:p w:rsidR="002A31C6" w:rsidRDefault="002A31C6" w:rsidP="002A31C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2A31C6" w:rsidRDefault="002A31C6" w:rsidP="005E6F7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</w:r>
    </w:p>
    <w:p w:rsidR="005E6F77" w:rsidRDefault="005E6F77" w:rsidP="005E6F7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предоставления муниципальной услуги в части выдачи разрешения на строительство составляет не более 5 рабочих дней со дня поступления заявления и прилагаемых к нему документов, представленных заявителем самостоятельно, в отдел архитектуры, за исключением случая, предусмотренного частью 11.1 статьей 51 Градостроительного кодекса Российской Федерации. </w:t>
      </w:r>
    </w:p>
    <w:p w:rsidR="005E6F77" w:rsidRDefault="005E6F77" w:rsidP="005E6F77">
      <w:pP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Срок предоставления муниципальной услуги в части внесения изменений в разрешение на строительство составляет не более 5 рабочих дней со дня получения отделом архитектуры уведомления о переходе к заявителю прав на земельные участки, права пользования недрами, об образовании земельного участка, или заявления о внесении изменений в разрешение на строительство (в том числе в связи с необходимостью продления срока действия разрешения на</w:t>
      </w:r>
      <w:proofErr w:type="gramEnd"/>
      <w:r>
        <w:rPr>
          <w:rFonts w:cs="Times New Roman"/>
          <w:szCs w:val="28"/>
        </w:rPr>
        <w:t xml:space="preserve"> строительство)</w:t>
      </w:r>
    </w:p>
    <w:p w:rsidR="00661443" w:rsidRDefault="00661443" w:rsidP="00661443">
      <w:pPr>
        <w:tabs>
          <w:tab w:val="left" w:pos="709"/>
        </w:tabs>
        <w:jc w:val="both"/>
      </w:pPr>
      <w:r>
        <w:t xml:space="preserve">          </w:t>
      </w:r>
      <w:proofErr w:type="gramStart"/>
      <w:r>
        <w:t>Подготовка мотивированного отказа в предоставлении муниципальной услуги осуществляется в срок не более 5 рабочих дней со дня получения заявления о выдаче разрешения на строительство или уведомления о переходе к заявителю прав на земельные участки, права пользования недрами, об образовании земельного участка, или заявления о внесении изменений в разрешение на строительство, за исключением случая, предусмотренного частью 11.1 статьи 51 Градостроительного кодекса</w:t>
      </w:r>
      <w:proofErr w:type="gramEnd"/>
      <w:r>
        <w:t xml:space="preserve"> Российской Федерации. </w:t>
      </w:r>
    </w:p>
    <w:p w:rsidR="00E75893" w:rsidRDefault="00661443" w:rsidP="00661443">
      <w:pPr>
        <w:tabs>
          <w:tab w:val="left" w:pos="709"/>
        </w:tabs>
        <w:ind w:firstLine="709"/>
        <w:jc w:val="both"/>
        <w:rPr>
          <w:b/>
        </w:rPr>
      </w:pPr>
      <w:r w:rsidRPr="00661443">
        <w:rPr>
          <w:b/>
        </w:rPr>
        <w:t xml:space="preserve">По выбору заявителя заявление подается в Администрацию </w:t>
      </w:r>
      <w:proofErr w:type="spellStart"/>
      <w:r>
        <w:rPr>
          <w:b/>
        </w:rPr>
        <w:t>Кыштымского</w:t>
      </w:r>
      <w:proofErr w:type="spellEnd"/>
      <w:r>
        <w:rPr>
          <w:b/>
        </w:rPr>
        <w:t xml:space="preserve"> городского округа</w:t>
      </w:r>
      <w:r w:rsidRPr="00661443">
        <w:rPr>
          <w:b/>
        </w:rPr>
        <w:t xml:space="preserve"> лично, с использованием различных сре</w:t>
      </w:r>
      <w:proofErr w:type="gramStart"/>
      <w:r w:rsidRPr="00661443">
        <w:rPr>
          <w:b/>
        </w:rPr>
        <w:t>дств св</w:t>
      </w:r>
      <w:proofErr w:type="gramEnd"/>
      <w:r w:rsidRPr="00661443">
        <w:rPr>
          <w:b/>
        </w:rPr>
        <w:t>язи (почта, факс, электронная почта и т.д.), через Многофункциональный центр предоставления государственных и муниципальных услуг, через портал государственных и муниципальных услуг Челябинской области» (</w:t>
      </w:r>
      <w:hyperlink r:id="rId18" w:history="1">
        <w:r w:rsidR="00B82D08" w:rsidRPr="005C5EF3">
          <w:rPr>
            <w:rStyle w:val="a3"/>
            <w:b/>
          </w:rPr>
          <w:t>www.gosuslugi74.ru</w:t>
        </w:r>
      </w:hyperlink>
      <w:r w:rsidRPr="00661443">
        <w:rPr>
          <w:b/>
        </w:rPr>
        <w:t>).</w:t>
      </w:r>
    </w:p>
    <w:p w:rsidR="00B82D08" w:rsidRPr="00B82D08" w:rsidRDefault="00B82D08" w:rsidP="00B82D08">
      <w:pPr>
        <w:rPr>
          <w:rFonts w:cs="Times New Roman"/>
        </w:rPr>
      </w:pPr>
    </w:p>
    <w:p w:rsidR="00B82D08" w:rsidRDefault="00B82D08" w:rsidP="00B82D08">
      <w:pPr>
        <w:jc w:val="center"/>
        <w:rPr>
          <w:rFonts w:cs="Times New Roman"/>
          <w:sz w:val="20"/>
          <w:szCs w:val="20"/>
        </w:rPr>
      </w:pPr>
    </w:p>
    <w:p w:rsidR="00B82D08" w:rsidRDefault="00B82D08" w:rsidP="00B82D08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Блок-схема последовательности </w:t>
      </w:r>
    </w:p>
    <w:p w:rsidR="00B82D08" w:rsidRDefault="00B82D08" w:rsidP="00B82D08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предоставления муниципальной услуги </w:t>
      </w:r>
    </w:p>
    <w:p w:rsidR="00B82D08" w:rsidRPr="00A81F4D" w:rsidRDefault="00B82D08" w:rsidP="00B82D08">
      <w:pPr>
        <w:jc w:val="center"/>
        <w:rPr>
          <w:iCs/>
          <w:sz w:val="26"/>
          <w:szCs w:val="26"/>
        </w:rPr>
      </w:pPr>
      <w:r w:rsidRPr="00A81F4D">
        <w:rPr>
          <w:iCs/>
          <w:sz w:val="26"/>
          <w:szCs w:val="26"/>
        </w:rPr>
        <w:t>«</w:t>
      </w:r>
      <w:r w:rsidRPr="00A81F4D">
        <w:rPr>
          <w:rFonts w:cs="Times New Roman"/>
          <w:sz w:val="26"/>
          <w:szCs w:val="26"/>
        </w:rPr>
        <w:t>Выдача разрешения на строительство объекта капитального строительства, (в том числе внесение изменений в разрешение на строительств</w:t>
      </w:r>
      <w:r>
        <w:rPr>
          <w:rFonts w:cs="Times New Roman"/>
          <w:sz w:val="26"/>
          <w:szCs w:val="26"/>
        </w:rPr>
        <w:t>о</w:t>
      </w:r>
      <w:r w:rsidRPr="00A81F4D">
        <w:rPr>
          <w:rFonts w:cs="Times New Roman"/>
          <w:sz w:val="26"/>
          <w:szCs w:val="26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A81F4D">
        <w:rPr>
          <w:iCs/>
          <w:sz w:val="26"/>
          <w:szCs w:val="26"/>
        </w:rPr>
        <w:t>»</w:t>
      </w:r>
    </w:p>
    <w:p w:rsidR="00B82D08" w:rsidRDefault="00B82D08" w:rsidP="00B82D08"/>
    <w:p w:rsidR="00B82D08" w:rsidRDefault="00B82D08" w:rsidP="00B82D08">
      <w:pPr>
        <w:ind w:left="-567" w:right="850"/>
      </w:pPr>
      <w:r>
        <w:pict>
          <v:group id="_x0000_s1026" style="position:absolute;left:0;text-align:left;margin-left:-46.8pt;margin-top:6.85pt;width:522pt;height:468pt;z-index:251658240" coordorigin="990,4665" coordsize="10440,9360">
            <v:rect id="_x0000_s1027" style="position:absolute;left:6345;top:4665;width:4785;height:975">
              <v:textbox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Предоставление заявителем документов, необходимых для предоставления муниципальной услуги в МФЦ</w:t>
                    </w:r>
                  </w:p>
                </w:txbxContent>
              </v:textbox>
            </v:rect>
            <v:rect id="_x0000_s1028" style="position:absolute;left:990;top:6135;width:4785;height:975">
              <v:textbox style="mso-next-textbox:#_x0000_s1028"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Предоставление заявителем документов, необходимых для предоставления муниципальной услуги в отдел архитектуры и градостроительства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745;top:5640;width:0;height:495" o:connectortype="straight">
              <v:stroke endarrow="block"/>
            </v:shape>
            <v:rect id="_x0000_s1030" style="position:absolute;left:6345;top:6135;width:4785;height:975">
              <v:textbox style="mso-next-textbox:#_x0000_s1030"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Предоставление заявителем документов, необходимых для предоставления муниципальной услуги в отдел архитектуры и градостроительства</w:t>
                    </w:r>
                  </w:p>
                </w:txbxContent>
              </v:textbox>
            </v:rect>
            <v:rect id="_x0000_s1031" style="position:absolute;left:3815;top:7440;width:4785;height:645">
              <v:textbox style="mso-next-textbox:#_x0000_s1031"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Прием и регистрация представленных документов в отделе архитектуры и градостроительства</w:t>
                    </w:r>
                  </w:p>
                </w:txbxContent>
              </v:textbox>
            </v:rect>
            <v:shape id="_x0000_s1032" type="#_x0000_t32" style="position:absolute;left:4680;top:7110;width:15;height:330" o:connectortype="straight">
              <v:stroke endarrow="block"/>
            </v:shape>
            <v:shape id="_x0000_s1033" type="#_x0000_t32" style="position:absolute;left:7395;top:7110;width:15;height:330" o:connectortype="straight">
              <v:stroke endarrow="block"/>
            </v:shape>
            <v:rect id="_x0000_s1034" style="position:absolute;left:990;top:8400;width:4785;height:360">
              <v:textbox style="mso-next-textbox:#_x0000_s1034"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Направление межведомственных запросов</w:t>
                    </w:r>
                  </w:p>
                </w:txbxContent>
              </v:textbox>
            </v:rect>
            <v:shape id="_x0000_s1035" type="#_x0000_t32" style="position:absolute;left:4665;top:8085;width:15;height:330" o:connectortype="straight">
              <v:stroke endarrow="block"/>
            </v:shape>
            <v:shape id="_x0000_s1036" type="#_x0000_t32" style="position:absolute;left:5775;top:8565;width:1365;height:0" o:connectortype="straight">
              <v:stroke endarrow="block"/>
            </v:shape>
            <v:rect id="_x0000_s1037" style="position:absolute;left:7140;top:8235;width:3900;height:660">
              <v:textbox style="mso-next-textbox:#_x0000_s1037"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Проведение экспертизы представленных документов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8" type="#_x0000_t4" style="position:absolute;left:3725;top:9045;width:5020;height:1965">
              <v:textbox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Наличие оснований для отказа в предоставлении муниципальной услуги</w:t>
                    </w:r>
                  </w:p>
                </w:txbxContent>
              </v:textbox>
            </v:shape>
            <v:shape id="_x0000_s1039" type="#_x0000_t32" style="position:absolute;left:9330;top:8895;width:15;height:1095" o:connectortype="straight"/>
            <v:shape id="_x0000_s1040" type="#_x0000_t32" style="position:absolute;left:8745;top:9990;width:600;height:0;flip:x" o:connectortype="straight">
              <v:stroke endarrow="block"/>
            </v:shape>
            <v:shape id="_x0000_s1041" type="#_x0000_t32" style="position:absolute;left:6225;top:11010;width:0;height:270" o:connectortype="straight"/>
            <v:shape id="_x0000_s1042" type="#_x0000_t32" style="position:absolute;left:2535;top:11280;width:3690;height:0;flip:x" o:connectortype="straight"/>
            <v:shape id="_x0000_s1043" type="#_x0000_t32" style="position:absolute;left:6225;top:11280;width:3765;height:1;flip:x" o:connectortype="straight"/>
            <v:rect id="_x0000_s1044" style="position:absolute;left:3255;top:10755;width:810;height:398" stroked="f">
              <v:textbox>
                <w:txbxContent>
                  <w:p w:rsidR="00B82D08" w:rsidRDefault="00B82D08" w:rsidP="00B82D08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45" style="position:absolute;left:8445;top:10755;width:810;height:398" stroked="f">
              <v:textbox>
                <w:txbxContent>
                  <w:p w:rsidR="00B82D08" w:rsidRDefault="00B82D08" w:rsidP="00B82D08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shape id="_x0000_s1046" type="#_x0000_t32" style="position:absolute;left:2535;top:11281;width:0;height:374" o:connectortype="straight">
              <v:stroke endarrow="block"/>
            </v:shape>
            <v:shape id="_x0000_s1047" type="#_x0000_t32" style="position:absolute;left:9990;top:11281;width:0;height:374" o:connectortype="straight">
              <v:stroke endarrow="block"/>
            </v:shape>
            <v:rect id="_x0000_s1048" style="position:absolute;left:1080;top:11655;width:2985;height:975">
              <v:textbox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Подготовка мотивированного отказа в предоставлении муниципальной услуги</w:t>
                    </w:r>
                  </w:p>
                </w:txbxContent>
              </v:textbox>
            </v:rect>
            <v:rect id="_x0000_s1049" style="position:absolute;left:8445;top:11655;width:2985;height:975">
              <v:textbox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Подготовка положительного результата предоставления муниципальной услуги</w:t>
                    </w:r>
                  </w:p>
                </w:txbxContent>
              </v:textbox>
            </v:rect>
            <v:shape id="_x0000_s1050" type="#_x0000_t32" style="position:absolute;left:2610;top:12630;width:0;height:435" o:connectortype="straight"/>
            <v:shape id="_x0000_s1051" type="#_x0000_t32" style="position:absolute;left:9990;top:12630;width:0;height:435" o:connectortype="straight"/>
            <v:shape id="_x0000_s1052" type="#_x0000_t32" style="position:absolute;left:2610;top:13065;width:7380;height:0" o:connectortype="straight"/>
            <v:shape id="_x0000_s1053" type="#_x0000_t32" style="position:absolute;left:6345;top:13065;width:0;height:315" o:connectortype="straight">
              <v:stroke endarrow="block"/>
            </v:shape>
            <v:rect id="_x0000_s1054" style="position:absolute;left:3960;top:13380;width:4785;height:645">
              <v:textbox style="mso-next-textbox:#_x0000_s1054">
                <w:txbxContent>
                  <w:p w:rsidR="00B82D08" w:rsidRDefault="00B82D08" w:rsidP="00B82D08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Выдача заявителю результата предоставления муниципальной услуги</w:t>
                    </w:r>
                  </w:p>
                </w:txbxContent>
              </v:textbox>
            </v:rect>
          </v:group>
        </w:pict>
      </w:r>
    </w:p>
    <w:p w:rsidR="00B82D08" w:rsidRDefault="00B82D08" w:rsidP="00B82D08"/>
    <w:p w:rsidR="00B82D08" w:rsidRDefault="00B82D08" w:rsidP="00B82D08"/>
    <w:p w:rsidR="00B82D08" w:rsidRPr="00661443" w:rsidRDefault="00B82D08" w:rsidP="00661443">
      <w:pPr>
        <w:tabs>
          <w:tab w:val="left" w:pos="709"/>
        </w:tabs>
        <w:ind w:firstLine="709"/>
        <w:jc w:val="both"/>
        <w:rPr>
          <w:b/>
        </w:rPr>
      </w:pPr>
    </w:p>
    <w:sectPr w:rsidR="00B82D08" w:rsidRPr="00661443" w:rsidSect="00C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93"/>
    <w:rsid w:val="00094176"/>
    <w:rsid w:val="0012370C"/>
    <w:rsid w:val="001C79CA"/>
    <w:rsid w:val="00227B79"/>
    <w:rsid w:val="002A31C6"/>
    <w:rsid w:val="00426EB1"/>
    <w:rsid w:val="00481319"/>
    <w:rsid w:val="00575B95"/>
    <w:rsid w:val="005E6F77"/>
    <w:rsid w:val="00661443"/>
    <w:rsid w:val="008E6BC1"/>
    <w:rsid w:val="009B32FA"/>
    <w:rsid w:val="00A853E9"/>
    <w:rsid w:val="00B64DB9"/>
    <w:rsid w:val="00B73222"/>
    <w:rsid w:val="00B774B0"/>
    <w:rsid w:val="00B82D08"/>
    <w:rsid w:val="00CA4BE1"/>
    <w:rsid w:val="00D65B90"/>
    <w:rsid w:val="00D95C1F"/>
    <w:rsid w:val="00E20E73"/>
    <w:rsid w:val="00E43610"/>
    <w:rsid w:val="00E75893"/>
    <w:rsid w:val="00E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2"/>
        <o:r id="V:Rule2" type="connector" idref="#_x0000_s1032"/>
        <o:r id="V:Rule3" type="connector" idref="#_x0000_s1040"/>
        <o:r id="V:Rule4" type="connector" idref="#_x0000_s1041"/>
        <o:r id="V:Rule5" type="connector" idref="#_x0000_s1051"/>
        <o:r id="V:Rule6" type="connector" idref="#_x0000_s1033"/>
        <o:r id="V:Rule7" type="connector" idref="#_x0000_s1047"/>
        <o:r id="V:Rule8" type="connector" idref="#_x0000_s1036"/>
        <o:r id="V:Rule9" type="connector" idref="#_x0000_s1050"/>
        <o:r id="V:Rule10" type="connector" idref="#_x0000_s1029"/>
        <o:r id="V:Rule11" type="connector" idref="#_x0000_s1039"/>
        <o:r id="V:Rule12" type="connector" idref="#_x0000_s1035"/>
        <o:r id="V:Rule13" type="connector" idref="#_x0000_s1052"/>
        <o:r id="V:Rule14" type="connector" idref="#_x0000_s1046"/>
        <o:r id="V:Rule15" type="connector" idref="#_x0000_s1053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D0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2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2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99"/>
    <w:rsid w:val="00B8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2D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D0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82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493B287C329152A816E39B04C62DE36278122F827F6458F5B1E24FCDDE410940D657DAB047CF1234CD433E1D254C7E9D80C7529EB08A8b916K" TargetMode="External"/><Relationship Id="rId13" Type="http://schemas.openxmlformats.org/officeDocument/2006/relationships/hyperlink" Target="consultantplus://offline/ref=A6E493B287C329152A816E39B04C62DE36278122F827F6458F5B1E24FCDDE410940D657FAB037CF37616C437A8865FD8EFC7127637EBb018K" TargetMode="External"/><Relationship Id="rId18" Type="http://schemas.openxmlformats.org/officeDocument/2006/relationships/hyperlink" Target="http://www.gosuslugi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E493B287C329152A816E39B04C62DE36278122F827F6458F5B1E24FCDDE410940D6578AF0D77AC7303D56FA48147C6EED80E7435bE19K" TargetMode="External"/><Relationship Id="rId12" Type="http://schemas.openxmlformats.org/officeDocument/2006/relationships/hyperlink" Target="consultantplus://offline/ref=A6E493B287C329152A816E39B04C62DE36278122F827F6458F5B1E24FCDDE410940D657FAB0078F37616C437A8865FD8EFC7127637EBb018K" TargetMode="External"/><Relationship Id="rId17" Type="http://schemas.openxmlformats.org/officeDocument/2006/relationships/hyperlink" Target="consultantplus://offline/ref=A6E493B287C329152A816E39B04C62DE3620832AFE26F6458F5B1E24FCDDE410940D657DA30C7FF37616C437A8865FD8EFC7127637EBb01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E493B287C329152A816E39B04C62DE36208A21F222F6458F5B1E24FCDDE410940D657DAB057FFA274CD433E1D254C7E9D80C7529EB08A8b916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493B287C329152A816E39B04C62DE36278122F827F6458F5B1E24FCDDE410940D657FAB0175F37616C437A8865FD8EFC7127637EBb018K" TargetMode="External"/><Relationship Id="rId11" Type="http://schemas.openxmlformats.org/officeDocument/2006/relationships/hyperlink" Target="consultantplus://offline/ref=A6E493B287C329152A816E39B04C62DE36278122F827F6458F5B1E24FCDDE410940D657FAB0078F37616C437A8865FD8EFC7127637EBb018K" TargetMode="External"/><Relationship Id="rId5" Type="http://schemas.openxmlformats.org/officeDocument/2006/relationships/hyperlink" Target="consultantplus://offline/ref=A6E493B287C329152A816E39B04C62DE36208525F327F6458F5B1E24FCDDE410940D657FA20774F37616C437A8865FD8EFC7127637EBb018K" TargetMode="External"/><Relationship Id="rId15" Type="http://schemas.openxmlformats.org/officeDocument/2006/relationships/hyperlink" Target="consultantplus://offline/ref=A6E493B287C329152A816E39B04C62DE36278122F827F6458F5B1E24FCDDE410940D657DAB057AFA2A4CD433E1D254C7E9D80C7529EB08A8b916K" TargetMode="External"/><Relationship Id="rId10" Type="http://schemas.openxmlformats.org/officeDocument/2006/relationships/hyperlink" Target="consultantplus://offline/ref=A6E493B287C329152A816E39B04C62DE36278122F827F6458F5B1E24FCDDE410940D657DAB0478F8204CD433E1D254C7E9D80C7529EB08A8b916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6E493B287C329152A816E39B04C62DE36278122F827F6458F5B1E24FCDDE410940D657FAA0C7EF37616C437A8865FD8EFC7127637EBb018K" TargetMode="External"/><Relationship Id="rId9" Type="http://schemas.openxmlformats.org/officeDocument/2006/relationships/hyperlink" Target="consultantplus://offline/ref=A6E493B287C329152A816E39B04C62DE36278122F827F6458F5B1E24FCDDE410940D6579AB0577AC7303D56FA48147C6EED80E7435bE19K" TargetMode="External"/><Relationship Id="rId14" Type="http://schemas.openxmlformats.org/officeDocument/2006/relationships/hyperlink" Target="consultantplus://offline/ref=A6E493B287C329152A816E39B04C62DE36278122F827F6458F5B1E24FCDDE410940D657FAB037CF37616C437A8865FD8EFC7127637EBb01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operator2</cp:lastModifiedBy>
  <cp:revision>4</cp:revision>
  <dcterms:created xsi:type="dcterms:W3CDTF">2021-04-08T08:08:00Z</dcterms:created>
  <dcterms:modified xsi:type="dcterms:W3CDTF">2021-04-08T08:39:00Z</dcterms:modified>
</cp:coreProperties>
</file>