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center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rStyle w:val="a4"/>
          <w:color w:val="313131"/>
          <w:sz w:val="26"/>
          <w:szCs w:val="26"/>
        </w:rPr>
        <w:t>Критерии отнесения объектов муниципального земельного контроля к определенной категории риска причинения вреда (ущерба)</w:t>
      </w:r>
    </w:p>
    <w:p w:rsidR="00D66203" w:rsidRDefault="00D66203" w:rsidP="00D66203">
      <w:pPr>
        <w:pStyle w:val="a3"/>
        <w:shd w:val="clear" w:color="auto" w:fill="F9F9FF"/>
        <w:spacing w:before="0" w:beforeAutospacing="0" w:after="0" w:afterAutospacing="0"/>
        <w:contextualSpacing/>
        <w:jc w:val="both"/>
        <w:rPr>
          <w:color w:val="313131"/>
          <w:sz w:val="26"/>
          <w:szCs w:val="26"/>
          <w:u w:val="single"/>
        </w:rPr>
      </w:pP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  <w:u w:val="single"/>
        </w:rPr>
        <w:t>К категории среднего риска относятся</w:t>
      </w:r>
      <w:r w:rsidRPr="00D66203">
        <w:rPr>
          <w:color w:val="313131"/>
          <w:sz w:val="26"/>
          <w:szCs w:val="26"/>
        </w:rPr>
        <w:t>: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кадастровая стоимость которых на 50 и более процентов превышает средний уровень кадастровой стоимости по муниципальному району (городскому округу);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мелиорируемые и мелиорированные земельные участки;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 xml:space="preserve">— 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D66203">
        <w:rPr>
          <w:color w:val="313131"/>
          <w:sz w:val="26"/>
          <w:szCs w:val="26"/>
        </w:rPr>
        <w:t>птицемест</w:t>
      </w:r>
      <w:proofErr w:type="spellEnd"/>
      <w:r w:rsidRPr="00D66203">
        <w:rPr>
          <w:color w:val="313131"/>
          <w:sz w:val="26"/>
          <w:szCs w:val="26"/>
        </w:rPr>
        <w:t xml:space="preserve"> и более);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color w:val="313131"/>
          <w:sz w:val="26"/>
          <w:szCs w:val="26"/>
        </w:rPr>
      </w:pP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  <w:u w:val="single"/>
        </w:rPr>
      </w:pPr>
      <w:r w:rsidRPr="00D66203">
        <w:rPr>
          <w:color w:val="313131"/>
          <w:sz w:val="26"/>
          <w:szCs w:val="26"/>
          <w:u w:val="single"/>
        </w:rPr>
        <w:t>К категории умеренного риска относятся: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proofErr w:type="gramStart"/>
      <w:r w:rsidRPr="00D66203">
        <w:rPr>
          <w:color w:val="313131"/>
          <w:sz w:val="26"/>
          <w:szCs w:val="26"/>
        </w:rPr>
        <w:t>— относящиеся к категории земель населенных пунктов и граничащие с землями и</w:t>
      </w:r>
      <w:proofErr w:type="gramEnd"/>
      <w:r w:rsidRPr="00D66203">
        <w:rPr>
          <w:color w:val="313131"/>
          <w:sz w:val="26"/>
          <w:szCs w:val="26"/>
        </w:rPr>
        <w:t xml:space="preserve">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proofErr w:type="gramStart"/>
      <w:r w:rsidRPr="00D66203">
        <w:rPr>
          <w:color w:val="313131"/>
          <w:sz w:val="26"/>
          <w:szCs w:val="26"/>
        </w:rPr>
        <w:t>—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в границах которых расположены магистральные трубопроводы;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 xml:space="preserve">— 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D66203">
        <w:rPr>
          <w:color w:val="313131"/>
          <w:sz w:val="26"/>
          <w:szCs w:val="26"/>
        </w:rPr>
        <w:t>птицемест</w:t>
      </w:r>
      <w:proofErr w:type="spellEnd"/>
      <w:r w:rsidRPr="00D66203">
        <w:rPr>
          <w:color w:val="313131"/>
          <w:sz w:val="26"/>
          <w:szCs w:val="26"/>
        </w:rPr>
        <w:t>);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— земельные участки, занятые объектами торговли.</w:t>
      </w:r>
    </w:p>
    <w:p w:rsid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color w:val="313131"/>
          <w:sz w:val="26"/>
          <w:szCs w:val="26"/>
        </w:rPr>
      </w:pP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color w:val="313131"/>
          <w:sz w:val="26"/>
          <w:szCs w:val="26"/>
        </w:rPr>
      </w:pPr>
    </w:p>
    <w:p w:rsidR="00D66203" w:rsidRPr="00D66203" w:rsidRDefault="00D66203" w:rsidP="00E11353">
      <w:pPr>
        <w:pStyle w:val="a3"/>
        <w:shd w:val="clear" w:color="auto" w:fill="F9F9FF"/>
        <w:spacing w:before="0" w:beforeAutospacing="0" w:after="0" w:afterAutospacing="0"/>
        <w:ind w:left="-851"/>
        <w:contextualSpacing/>
        <w:jc w:val="both"/>
        <w:rPr>
          <w:rFonts w:ascii="Helvetica" w:hAnsi="Helvetica" w:cs="Helvetica"/>
          <w:color w:val="313131"/>
          <w:sz w:val="26"/>
          <w:szCs w:val="26"/>
        </w:rPr>
      </w:pPr>
      <w:r w:rsidRPr="00D66203">
        <w:rPr>
          <w:color w:val="313131"/>
          <w:sz w:val="26"/>
          <w:szCs w:val="26"/>
        </w:rPr>
        <w:t>При наличии вступивших в законную силу в течение последних 3 лет двух и более постановлений (решений) по делу об административном правонарушении с назначением административного наказания по основаниям предусмотренным статьями 7.1, 8.8, 19.4.1, 19.5, 19.6 Кодекса Российской Федерации об административных правонарушениях, категория риска повышается.</w:t>
      </w:r>
    </w:p>
    <w:p w:rsidR="008C5A24" w:rsidRDefault="008C5A24" w:rsidP="00E11353">
      <w:pPr>
        <w:ind w:left="-851"/>
      </w:pPr>
    </w:p>
    <w:p w:rsidR="00E11353" w:rsidRPr="00E11353" w:rsidRDefault="00E11353" w:rsidP="00E11353">
      <w:pPr>
        <w:spacing w:after="0" w:line="240" w:lineRule="auto"/>
        <w:ind w:left="-851"/>
        <w:contextualSpacing/>
        <w:jc w:val="both"/>
        <w:rPr>
          <w:sz w:val="26"/>
          <w:szCs w:val="26"/>
        </w:rPr>
      </w:pPr>
      <w:r w:rsidRPr="00E11353">
        <w:rPr>
          <w:sz w:val="26"/>
          <w:szCs w:val="26"/>
        </w:rPr>
        <w:t xml:space="preserve">Проведение плановых контрольных мероприятий в отношении объектов контроля в зависимости от присвоения категории риска причинения вреда (ущерба) осуществляется со следующей периодичностью: </w:t>
      </w:r>
    </w:p>
    <w:p w:rsidR="00E11353" w:rsidRPr="00E11353" w:rsidRDefault="00E11353" w:rsidP="00E11353">
      <w:pPr>
        <w:spacing w:after="0" w:line="240" w:lineRule="auto"/>
        <w:ind w:left="-851"/>
        <w:contextualSpacing/>
        <w:jc w:val="both"/>
        <w:rPr>
          <w:sz w:val="26"/>
          <w:szCs w:val="26"/>
        </w:rPr>
      </w:pPr>
      <w:r w:rsidRPr="00E11353">
        <w:rPr>
          <w:sz w:val="26"/>
          <w:szCs w:val="26"/>
        </w:rPr>
        <w:t xml:space="preserve">- для объектов контроля, отнесенных к категории среднего риска – не менее одного контрольного мероприятия  в пять лет; </w:t>
      </w:r>
    </w:p>
    <w:p w:rsidR="00E11353" w:rsidRPr="00E11353" w:rsidRDefault="00E11353" w:rsidP="00E11353">
      <w:pPr>
        <w:spacing w:after="0" w:line="240" w:lineRule="auto"/>
        <w:ind w:left="-851"/>
        <w:contextualSpacing/>
        <w:jc w:val="both"/>
        <w:rPr>
          <w:sz w:val="26"/>
          <w:szCs w:val="26"/>
        </w:rPr>
      </w:pPr>
      <w:r w:rsidRPr="00E11353">
        <w:rPr>
          <w:sz w:val="26"/>
          <w:szCs w:val="26"/>
        </w:rPr>
        <w:t xml:space="preserve">- для объектов контроля, отнесенных к категории умеренного риска – не менее одного контрольного мероприятия  в шесть лет. </w:t>
      </w:r>
    </w:p>
    <w:p w:rsidR="00E11353" w:rsidRPr="00E11353" w:rsidRDefault="00E11353" w:rsidP="00E11353">
      <w:pPr>
        <w:spacing w:after="0" w:line="240" w:lineRule="auto"/>
        <w:ind w:left="-851"/>
        <w:contextualSpacing/>
        <w:jc w:val="both"/>
        <w:rPr>
          <w:sz w:val="26"/>
          <w:szCs w:val="26"/>
        </w:rPr>
      </w:pPr>
      <w:r w:rsidRPr="00E11353">
        <w:rPr>
          <w:sz w:val="26"/>
          <w:szCs w:val="26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E11353" w:rsidRDefault="00E11353"/>
    <w:sectPr w:rsidR="00E11353" w:rsidSect="00E11353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03"/>
    <w:rsid w:val="00660FDF"/>
    <w:rsid w:val="006F3BAC"/>
    <w:rsid w:val="00893BF8"/>
    <w:rsid w:val="008C5A24"/>
    <w:rsid w:val="00A07415"/>
    <w:rsid w:val="00D66203"/>
    <w:rsid w:val="00E1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0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K-110-2</dc:creator>
  <cp:keywords/>
  <dc:description/>
  <cp:lastModifiedBy>K-110-2</cp:lastModifiedBy>
  <cp:revision>3</cp:revision>
  <dcterms:created xsi:type="dcterms:W3CDTF">2022-06-24T03:37:00Z</dcterms:created>
  <dcterms:modified xsi:type="dcterms:W3CDTF">2022-06-27T04:48:00Z</dcterms:modified>
</cp:coreProperties>
</file>