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53" w:rsidRDefault="00943D71" w:rsidP="00C62439">
      <w:pPr>
        <w:ind w:right="-992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-221615</wp:posOffset>
            </wp:positionV>
            <wp:extent cx="1837690" cy="1218565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953">
        <w:rPr>
          <w:rFonts w:ascii="Times New Roman" w:hAnsi="Times New Roman" w:cs="Times New Roman"/>
          <w:b/>
          <w:color w:val="002060"/>
          <w:sz w:val="48"/>
          <w:szCs w:val="48"/>
        </w:rPr>
        <w:t>БЮДЖЕТ ДЛЯ ГРАЖДАН</w:t>
      </w:r>
    </w:p>
    <w:p w:rsidR="004622BC" w:rsidRPr="00921B88" w:rsidRDefault="00835953" w:rsidP="008B4636">
      <w:pPr>
        <w:spacing w:after="0" w:line="240" w:lineRule="auto"/>
        <w:ind w:right="-992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2024 год - 2026 год</w:t>
      </w:r>
    </w:p>
    <w:p w:rsidR="004622BC" w:rsidRPr="00B215BE" w:rsidRDefault="00943D71" w:rsidP="008B4636">
      <w:pPr>
        <w:spacing w:after="0" w:line="240" w:lineRule="auto"/>
        <w:ind w:left="-567" w:right="-992"/>
        <w:jc w:val="center"/>
        <w:rPr>
          <w:b/>
          <w:color w:val="17365D"/>
          <w:sz w:val="48"/>
          <w:szCs w:val="48"/>
        </w:rPr>
      </w:pPr>
      <w:r>
        <w:rPr>
          <w:b/>
          <w:noProof/>
          <w:color w:val="17365D"/>
          <w:sz w:val="48"/>
          <w:szCs w:val="48"/>
          <w:lang w:eastAsia="ru-RU"/>
        </w:rPr>
        <w:drawing>
          <wp:inline distT="0" distB="0" distL="0" distR="0">
            <wp:extent cx="4569279" cy="236764"/>
            <wp:effectExtent l="19050" t="0" r="27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79" cy="23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E5" w:rsidRDefault="004622BC" w:rsidP="00274AE5">
      <w:pPr>
        <w:ind w:left="-567" w:right="-992"/>
        <w:rPr>
          <w:rFonts w:ascii="Times New Roman" w:hAnsi="Times New Roman" w:cs="Times New Roman"/>
          <w:color w:val="002060"/>
          <w:sz w:val="36"/>
          <w:szCs w:val="36"/>
        </w:rPr>
      </w:pPr>
      <w:r>
        <w:t xml:space="preserve">              </w:t>
      </w:r>
      <w:r w:rsidR="00CC7AF8" w:rsidRPr="00CC7AF8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6479722" cy="2735036"/>
            <wp:effectExtent l="19050" t="0" r="0" b="0"/>
            <wp:docPr id="7" name="Рисунок 2" descr="https://sun9-66.userapi.com/impg/c63RpM79RpLGytyfXdfiAdZ1RovAY3r1ah_-Rg/sOHhPXDGzdU.jpg?size=1680x1022&amp;quality=96&amp;sign=d0bb4a2007984175597af13581f447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impg/c63RpM79RpLGytyfXdfiAdZ1RovAY3r1ah_-Rg/sOHhPXDGzdU.jpg?size=1680x1022&amp;quality=96&amp;sign=d0bb4a2007984175597af13581f447c5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0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722" cy="273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2BC" w:rsidRPr="00B215BE" w:rsidRDefault="004622BC" w:rsidP="00921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Специальный раздел </w:t>
      </w:r>
      <w:r w:rsidRPr="00B215BE">
        <w:rPr>
          <w:rFonts w:ascii="Times New Roman" w:hAnsi="Times New Roman" w:cs="Times New Roman"/>
          <w:b/>
          <w:color w:val="002060"/>
          <w:sz w:val="36"/>
          <w:szCs w:val="36"/>
        </w:rPr>
        <w:t>«Бюджет для граждан»</w:t>
      </w:r>
      <w:r w:rsidR="001C2400">
        <w:rPr>
          <w:rFonts w:ascii="Times New Roman" w:hAnsi="Times New Roman" w:cs="Times New Roman"/>
          <w:color w:val="002060"/>
          <w:sz w:val="36"/>
          <w:szCs w:val="36"/>
        </w:rPr>
        <w:t xml:space="preserve"> подготовлен на основе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решения Собрания  депутатов  Кыштымского   городского округа   «О бюджете Кышт</w:t>
      </w:r>
      <w:r>
        <w:rPr>
          <w:rFonts w:ascii="Times New Roman" w:hAnsi="Times New Roman" w:cs="Times New Roman"/>
          <w:color w:val="002060"/>
          <w:sz w:val="36"/>
          <w:szCs w:val="36"/>
        </w:rPr>
        <w:t>ымского городского округа на 202</w:t>
      </w:r>
      <w:r w:rsidR="00371FB9">
        <w:rPr>
          <w:rFonts w:ascii="Times New Roman" w:hAnsi="Times New Roman" w:cs="Times New Roman"/>
          <w:color w:val="002060"/>
          <w:sz w:val="36"/>
          <w:szCs w:val="36"/>
        </w:rPr>
        <w:t>4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год и плановый период 20</w:t>
      </w:r>
      <w:r>
        <w:rPr>
          <w:rFonts w:ascii="Times New Roman" w:hAnsi="Times New Roman" w:cs="Times New Roman"/>
          <w:color w:val="002060"/>
          <w:sz w:val="36"/>
          <w:szCs w:val="36"/>
        </w:rPr>
        <w:t>2</w:t>
      </w:r>
      <w:r w:rsidR="00371FB9">
        <w:rPr>
          <w:rFonts w:ascii="Times New Roman" w:hAnsi="Times New Roman" w:cs="Times New Roman"/>
          <w:color w:val="002060"/>
          <w:sz w:val="36"/>
          <w:szCs w:val="36"/>
        </w:rPr>
        <w:t>5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и 20</w:t>
      </w:r>
      <w:r>
        <w:rPr>
          <w:rFonts w:ascii="Times New Roman" w:hAnsi="Times New Roman" w:cs="Times New Roman"/>
          <w:color w:val="002060"/>
          <w:sz w:val="36"/>
          <w:szCs w:val="36"/>
        </w:rPr>
        <w:t>2</w:t>
      </w:r>
      <w:r w:rsidR="00371FB9">
        <w:rPr>
          <w:rFonts w:ascii="Times New Roman" w:hAnsi="Times New Roman" w:cs="Times New Roman"/>
          <w:color w:val="002060"/>
          <w:sz w:val="36"/>
          <w:szCs w:val="36"/>
        </w:rPr>
        <w:t>6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годов». Он предназначен для широкого круга пользователей. </w:t>
      </w:r>
    </w:p>
    <w:p w:rsidR="008B4636" w:rsidRDefault="004622BC" w:rsidP="008B4636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Pr="00B215BE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«Бюджет для граждан»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- это упрощённая версия бюджетного документа,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позволяющая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облегчить для граждан понимание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основ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бюджета, объяснить планы и действия органов местного самоуправления во время бюджетного года,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а также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показать формы возможного взаимодействия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граждан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с администрацией округа и депутатским корпусом по вопросам расходования общественных финансов. 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>Представленный проект наглядно и доступно рассказывает населению о местном  бюджете: принципах его формирования, основных характеристиках, статьях расходов.</w:t>
      </w:r>
    </w:p>
    <w:p w:rsidR="004622BC" w:rsidRPr="00B215BE" w:rsidRDefault="004622BC" w:rsidP="008B463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Руководитель проекта</w:t>
      </w:r>
      <w:r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4622BC" w:rsidRPr="00B215BE" w:rsidRDefault="004622BC" w:rsidP="008B4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Л.А.Шеболаева,  г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>лава Кыштымского городского округа</w:t>
      </w:r>
    </w:p>
    <w:p w:rsidR="004622BC" w:rsidRPr="00B215BE" w:rsidRDefault="004622BC" w:rsidP="008B4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Исполнители проекта</w:t>
      </w:r>
      <w:r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4622BC" w:rsidRDefault="004622BC" w:rsidP="008B4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сотрудники Финансового управления </w:t>
      </w:r>
    </w:p>
    <w:p w:rsidR="004622BC" w:rsidRPr="00B215BE" w:rsidRDefault="004622BC" w:rsidP="008B4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администрации Кыштымского городского округа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lastRenderedPageBreak/>
        <w:t>Уважаемые жители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497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Кыштымского городского округа</w:t>
      </w:r>
      <w:r w:rsidRPr="00B215BE">
        <w:rPr>
          <w:rFonts w:ascii="Times New Roman" w:hAnsi="Times New Roman" w:cs="Times New Roman"/>
          <w:color w:val="1F497D"/>
          <w:sz w:val="36"/>
          <w:szCs w:val="36"/>
        </w:rPr>
        <w:t>!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>
        <w:rPr>
          <w:rFonts w:ascii="Times New Roman" w:hAnsi="Times New Roman" w:cs="Times New Roman"/>
          <w:color w:val="17365D"/>
          <w:sz w:val="36"/>
          <w:szCs w:val="36"/>
        </w:rPr>
        <w:t>Вашему вниманию представлена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 презентация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проекта </w:t>
      </w:r>
      <w:r w:rsidRPr="00B215BE">
        <w:rPr>
          <w:rFonts w:ascii="Times New Roman" w:hAnsi="Times New Roman" w:cs="Times New Roman"/>
          <w:b/>
          <w:color w:val="17365D"/>
          <w:sz w:val="36"/>
          <w:szCs w:val="36"/>
        </w:rPr>
        <w:t>«Бюджет для граждан»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. Уверены, что она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поможет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вам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разобраться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в главном финансовом документе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Кыштымского городского округа, </w:t>
      </w:r>
      <w:r>
        <w:rPr>
          <w:rFonts w:ascii="Times New Roman" w:hAnsi="Times New Roman" w:cs="Times New Roman"/>
          <w:color w:val="17365D"/>
          <w:sz w:val="36"/>
          <w:szCs w:val="36"/>
        </w:rPr>
        <w:t>а также понять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17365D"/>
          <w:sz w:val="36"/>
          <w:szCs w:val="36"/>
        </w:rPr>
        <w:t>принципы формирования и расходования городской  казны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При формировании местного бюджета мы исходили из эконо</w:t>
      </w:r>
      <w:r>
        <w:rPr>
          <w:rFonts w:ascii="Times New Roman" w:hAnsi="Times New Roman" w:cs="Times New Roman"/>
          <w:color w:val="17365D"/>
          <w:sz w:val="36"/>
          <w:szCs w:val="36"/>
        </w:rPr>
        <w:t>мических условий, в которых живё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т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наша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страна и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 Челябинская область, поэтому основные приоритеты расходов бюджета определены указами Президента Российской Федерации о национальных целях развития, а также актуальными для Челябинской области и Кыштымского городского округа направлениям. 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Основная часть расходов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 бюджета сформирована в рамках м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униципальных  программ. Каждая из них имеет свои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конкретные цели, комплекс мероприятий и чёткий измеримый результат, что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позволит оценить эффективно</w:t>
      </w:r>
      <w:r>
        <w:rPr>
          <w:rFonts w:ascii="Times New Roman" w:hAnsi="Times New Roman" w:cs="Times New Roman"/>
          <w:color w:val="17365D"/>
          <w:sz w:val="36"/>
          <w:szCs w:val="36"/>
        </w:rPr>
        <w:t>сть использования бюджетных средств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17365D"/>
          <w:sz w:val="36"/>
          <w:szCs w:val="36"/>
        </w:rPr>
        <w:t>Уверены</w:t>
      </w:r>
      <w:proofErr w:type="gramEnd"/>
      <w:r w:rsidRPr="00B215BE">
        <w:rPr>
          <w:rFonts w:ascii="Times New Roman" w:hAnsi="Times New Roman" w:cs="Times New Roman"/>
          <w:color w:val="17365D"/>
          <w:sz w:val="36"/>
          <w:szCs w:val="36"/>
        </w:rPr>
        <w:t>, знакомство со сферой местных финансов будет для вас интересным, полезным и даст возможность с пониманием участвовать в принятии значимых государственных решений.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E0050A" w:rsidRDefault="00E0050A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8B4636" w:rsidRDefault="004622BC" w:rsidP="00D171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8B4636">
        <w:rPr>
          <w:rFonts w:ascii="Times New Roman" w:hAnsi="Times New Roman" w:cs="Times New Roman"/>
          <w:b/>
          <w:bCs/>
          <w:color w:val="002060"/>
          <w:sz w:val="44"/>
          <w:szCs w:val="44"/>
        </w:rPr>
        <w:lastRenderedPageBreak/>
        <w:t>ПРИНЦИП ПРОЗРАЧНОСТИ (ОТКРЫТОСТИ) БЮДЖЕТНОЙ СИСТЕМЫ РОССИЙСКОЙ ФЕДЕРАЦИИ ОЗНАЧАЕТ:</w:t>
      </w: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622BC" w:rsidRPr="00D17137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Обязательное опубликование в средствах массовой информации утвержденных бюджетов и отчетов об их исполнении.</w:t>
      </w:r>
    </w:p>
    <w:p w:rsidR="004622BC" w:rsidRPr="00D17137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Обязательная открытость для общества и средств массовой информации проектов бюджетов, обеспечение доступа к информации на едином портале бюджетной системы Российской Федерации в сети «Интернет».</w:t>
      </w:r>
    </w:p>
    <w:p w:rsidR="004622BC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Стабильность и преемственность бюджетной классификации Российской Федерации, а также обеспечение сопоставимости показателей бюджета отчетного, текущего и очередного финансового года.</w:t>
      </w: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Pr="00D17137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Pr="00D17137" w:rsidRDefault="0047195D" w:rsidP="00D17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выборка </w:t>
      </w:r>
      <w:r w:rsidR="00184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F11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 </w:t>
      </w:r>
      <w:r w:rsidR="004622BC"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</w:t>
      </w:r>
      <w:r w:rsidR="00F11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4622BC"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36, </w:t>
      </w:r>
    </w:p>
    <w:p w:rsidR="004622BC" w:rsidRPr="00D17137" w:rsidRDefault="004622BC" w:rsidP="00D17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Бюджетного кодекса Российской Федерации</w:t>
      </w: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Franklin Gothic Medium" w:hAnsi="Franklin Gothic Medium"/>
          <w:color w:val="000000"/>
          <w:sz w:val="36"/>
          <w:szCs w:val="36"/>
        </w:rPr>
      </w:pPr>
    </w:p>
    <w:p w:rsidR="004622BC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Cambria" w:hAnsi="Cambria"/>
          <w:b/>
          <w:color w:val="000000"/>
          <w:sz w:val="40"/>
          <w:szCs w:val="40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Pr="00B503C2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48"/>
          <w:szCs w:val="48"/>
        </w:rPr>
      </w:pPr>
      <w:r w:rsidRPr="00B503C2">
        <w:rPr>
          <w:rFonts w:ascii="Times New Roman" w:hAnsi="Times New Roman" w:cs="Times New Roman"/>
          <w:b/>
          <w:color w:val="17365D"/>
          <w:sz w:val="48"/>
          <w:szCs w:val="48"/>
        </w:rPr>
        <w:lastRenderedPageBreak/>
        <w:t>Основные понятия</w:t>
      </w:r>
    </w:p>
    <w:p w:rsidR="004622BC" w:rsidRPr="001E39A8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</w:t>
      </w:r>
      <w:r w:rsidRPr="00D1713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форма образования и расходования   денежных средств, предназначенных для финансового обеспечения задач и функций государства и местного самоуправления.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Доходы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поступающие в бюджет денежные средства в соответствии с законодательством.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Расходы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– направляемые из бюджета денежные средств</w:t>
      </w:r>
      <w:r w:rsidR="00AE0C41">
        <w:rPr>
          <w:rFonts w:ascii="Times New Roman" w:hAnsi="Times New Roman" w:cs="Times New Roman"/>
          <w:b/>
          <w:color w:val="17365D"/>
          <w:sz w:val="36"/>
          <w:szCs w:val="36"/>
        </w:rPr>
        <w:t>а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на выполнение задач и функций государства.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Дефицит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– превышение расходов бюджета над его доходами.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Профицит бюджета </w:t>
      </w:r>
      <w:r w:rsidRPr="00D17137">
        <w:rPr>
          <w:rFonts w:ascii="Times New Roman" w:hAnsi="Times New Roman" w:cs="Times New Roman"/>
          <w:b/>
          <w:bCs/>
          <w:color w:val="17365D"/>
          <w:sz w:val="36"/>
          <w:szCs w:val="36"/>
        </w:rPr>
        <w:t>-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превышение доходов бюджета над его расходами.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Бюджетные ассигнования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4622BC" w:rsidRPr="00D17137" w:rsidRDefault="004622BC" w:rsidP="001E3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Межбюджетные трансферты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средства, предоставляемые одним бюджетом бюджетной системы другому бюджету бюджетной системы.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Бюджетная система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совокупность федерального бюджета, бюджетов субъектов Российской Федерации, местных бюджетов и бюджетов государственных внебюджетных фондов.</w:t>
      </w:r>
    </w:p>
    <w:p w:rsidR="004622BC" w:rsidRPr="00D17137" w:rsidRDefault="004622BC" w:rsidP="00DB0E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Бюджетный процесс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– регламентируемая </w:t>
      </w:r>
      <w:proofErr w:type="gramStart"/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законо-дательством</w:t>
      </w:r>
      <w:proofErr w:type="gramEnd"/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 деятельность органов исполнительной власти,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4622BC" w:rsidRPr="001E39A8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</w:p>
    <w:p w:rsidR="004622BC" w:rsidRPr="001E39A8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1E39A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622BC" w:rsidRPr="001E39A8" w:rsidRDefault="004622BC" w:rsidP="000B1DA0">
      <w:pPr>
        <w:autoSpaceDE w:val="0"/>
        <w:autoSpaceDN w:val="0"/>
        <w:adjustRightInd w:val="0"/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</w:p>
    <w:p w:rsidR="004622BC" w:rsidRPr="001E39A8" w:rsidRDefault="004622BC" w:rsidP="00F77400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4622BC" w:rsidRPr="001E39A8" w:rsidRDefault="004622BC">
      <w:pPr>
        <w:rPr>
          <w:rFonts w:ascii="Times New Roman" w:hAnsi="Times New Roman" w:cs="Times New Roman"/>
          <w:sz w:val="32"/>
          <w:szCs w:val="32"/>
        </w:rPr>
      </w:pPr>
    </w:p>
    <w:p w:rsidR="004622BC" w:rsidRDefault="004622BC"/>
    <w:p w:rsidR="004622BC" w:rsidRDefault="000C33E8">
      <w:r>
        <w:rPr>
          <w:noProof/>
          <w:lang w:eastAsia="ru-RU"/>
        </w:rPr>
        <w:pict>
          <v:roundrect id="_x0000_s1027" style="position:absolute;margin-left:6.2pt;margin-top:-2.45pt;width:507.75pt;height:45pt;z-index:251639296" arcsize="10923f" strokecolor="#002060" strokeweight="3pt">
            <v:stroke linestyle="thinThin"/>
            <v:textbox style="mso-next-textbox:#_x0000_s1027">
              <w:txbxContent>
                <w:p w:rsidR="00BB0627" w:rsidRPr="00B503C2" w:rsidRDefault="00BB0627" w:rsidP="0020741D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503C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Бюджетная система Российской Федерации</w:t>
                  </w:r>
                </w:p>
              </w:txbxContent>
            </v:textbox>
          </v:roundrect>
        </w:pict>
      </w:r>
    </w:p>
    <w:p w:rsidR="004622BC" w:rsidRDefault="00684C2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9.95pt;margin-top:22.5pt;width:168pt;height:106.45pt;flip:x;z-index:251643392" o:connectortype="straight" strokecolor="#1f497d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ru-RU"/>
        </w:rPr>
        <w:pict>
          <v:shape id="_x0000_s1028" type="#_x0000_t32" style="position:absolute;margin-left:237.95pt;margin-top:22.5pt;width:181.5pt;height:101.6pt;z-index:251645440" o:connectortype="straight" strokecolor="#1f497d" strokeweight="3pt">
            <v:stroke endarrow="block"/>
            <v:shadow type="perspective" color="#243f60" opacity=".5" offset="1pt" offset2="-1pt"/>
          </v:shape>
        </w:pict>
      </w:r>
    </w:p>
    <w:p w:rsidR="004622BC" w:rsidRDefault="00684C23">
      <w:r>
        <w:rPr>
          <w:noProof/>
          <w:lang w:eastAsia="ru-RU"/>
        </w:rPr>
        <w:pict>
          <v:shape id="_x0000_s1029" type="#_x0000_t32" style="position:absolute;margin-left:237.95pt;margin-top:1.75pt;width:0;height:260.7pt;z-index:251644416" o:connectortype="straight" strokecolor="#1f497d" strokeweight="3pt">
            <v:stroke endarrow="block"/>
            <v:shadow type="perspective" color="#243f60" opacity=".5" offset="1pt" offset2="-1pt"/>
          </v:shape>
        </w:pict>
      </w:r>
    </w:p>
    <w:p w:rsidR="004622BC" w:rsidRDefault="004622BC"/>
    <w:p w:rsidR="004622BC" w:rsidRDefault="004622BC"/>
    <w:p w:rsidR="004622BC" w:rsidRDefault="004622BC"/>
    <w:p w:rsidR="004622BC" w:rsidRDefault="00684C23">
      <w:r>
        <w:rPr>
          <w:noProof/>
          <w:lang w:eastAsia="ru-RU"/>
        </w:rPr>
        <w:pict>
          <v:roundrect id="_x0000_s1031" style="position:absolute;margin-left:-25.2pt;margin-top:15.25pt;width:237.2pt;height:106.35pt;z-index:251642368" arcsize="10923f" strokecolor="#002060" strokeweight="3pt">
            <v:stroke linestyle="thinThin"/>
            <v:textbox>
              <w:txbxContent>
                <w:p w:rsidR="00BB0627" w:rsidRPr="00A059D3" w:rsidRDefault="00BB0627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48"/>
                      <w:szCs w:val="48"/>
                    </w:rPr>
                  </w:pPr>
                  <w:r w:rsidRPr="00A059D3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48"/>
                      <w:szCs w:val="48"/>
                    </w:rPr>
                    <w:t xml:space="preserve">Российская Федерация </w:t>
                  </w:r>
                </w:p>
                <w:p w:rsidR="00BB0627" w:rsidRDefault="00BB0627"/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270.65pt;margin-top:8.8pt;width:270.3pt;height:106.35pt;z-index:251640320" arcsize="10923f" strokecolor="#002060" strokeweight="3pt">
            <v:stroke linestyle="thinThin"/>
            <v:textbox style="mso-next-textbox:#_x0000_s1032">
              <w:txbxContent>
                <w:p w:rsidR="00BB0627" w:rsidRPr="00A059D3" w:rsidRDefault="00BB0627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48"/>
                      <w:szCs w:val="48"/>
                    </w:rPr>
                  </w:pPr>
                  <w:r w:rsidRPr="00A059D3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48"/>
                      <w:szCs w:val="48"/>
                    </w:rPr>
                    <w:t>Муниципальные образования</w:t>
                  </w:r>
                  <w:r w:rsidRPr="00A059D3">
                    <w:rPr>
                      <w:rFonts w:ascii="Times New Roman" w:hAnsi="Times New Roman" w:cs="Times New Roman"/>
                      <w:color w:val="1F497D"/>
                      <w:sz w:val="48"/>
                      <w:szCs w:val="48"/>
                    </w:rPr>
                    <w:t xml:space="preserve"> </w:t>
                  </w:r>
                </w:p>
                <w:p w:rsidR="00BB0627" w:rsidRPr="009615FC" w:rsidRDefault="00BB0627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</w:pPr>
                </w:p>
                <w:p w:rsidR="00BB0627" w:rsidRPr="0048576C" w:rsidRDefault="00BB0627" w:rsidP="004857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A059D3">
      <w:r>
        <w:rPr>
          <w:noProof/>
          <w:lang w:eastAsia="ru-RU"/>
        </w:rPr>
        <w:pict>
          <v:roundrect id="_x0000_s1033" style="position:absolute;margin-left:88.6pt;margin-top:22.05pt;width:316.3pt;height:106.35pt;z-index:251641344" arcsize="10923f" strokecolor="#002060" strokeweight="3pt">
            <v:stroke linestyle="thinThin"/>
            <v:textbox>
              <w:txbxContent>
                <w:p w:rsidR="00BB0627" w:rsidRPr="00A059D3" w:rsidRDefault="00BB0627" w:rsidP="00485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48"/>
                      <w:szCs w:val="48"/>
                    </w:rPr>
                  </w:pPr>
                  <w:r w:rsidRPr="00A059D3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48"/>
                      <w:szCs w:val="48"/>
                    </w:rPr>
                    <w:t>Субъекты Российской Федерации</w:t>
                  </w:r>
                </w:p>
                <w:p w:rsidR="00BB0627" w:rsidRDefault="00BB0627"/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Pr="002117CE" w:rsidRDefault="004622BC" w:rsidP="0048576C">
      <w:pPr>
        <w:spacing w:after="100" w:line="240" w:lineRule="auto"/>
        <w:ind w:right="-142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2117CE">
        <w:rPr>
          <w:rFonts w:ascii="Times New Roman" w:hAnsi="Times New Roman" w:cs="Times New Roman"/>
          <w:b/>
          <w:bCs/>
          <w:color w:val="002060"/>
          <w:sz w:val="48"/>
          <w:szCs w:val="48"/>
        </w:rPr>
        <w:t>На чем основывается составление</w:t>
      </w:r>
    </w:p>
    <w:p w:rsidR="004622BC" w:rsidRPr="002117CE" w:rsidRDefault="004622BC" w:rsidP="0048576C">
      <w:pPr>
        <w:spacing w:after="100" w:line="240" w:lineRule="auto"/>
        <w:ind w:right="-142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2117CE">
        <w:rPr>
          <w:rFonts w:ascii="Times New Roman" w:hAnsi="Times New Roman" w:cs="Times New Roman"/>
          <w:b/>
          <w:bCs/>
          <w:color w:val="002060"/>
          <w:sz w:val="48"/>
          <w:szCs w:val="48"/>
        </w:rPr>
        <w:t>проекта бюджета округа</w:t>
      </w:r>
    </w:p>
    <w:p w:rsidR="004622BC" w:rsidRDefault="000C33E8" w:rsidP="00136FC5">
      <w:pPr>
        <w:ind w:right="-143"/>
      </w:pPr>
      <w:r>
        <w:rPr>
          <w:noProof/>
          <w:lang w:eastAsia="ru-RU"/>
        </w:rPr>
        <w:pict>
          <v:roundrect id="_x0000_s1034" style="position:absolute;margin-left:339.2pt;margin-top:10.45pt;width:186pt;height:122.25pt;z-index:251649536" arcsize="10923f" strokecolor="#002060" strokeweight="3pt">
            <v:stroke linestyle="thinThin"/>
            <v:textbox>
              <w:txbxContent>
                <w:p w:rsidR="00BB0627" w:rsidRPr="0048576C" w:rsidRDefault="00BB0627" w:rsidP="001D12DA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Прогноз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социально-экономического</w:t>
                  </w:r>
                  <w:proofErr w:type="gramEnd"/>
                </w:p>
                <w:p w:rsidR="00BB0627" w:rsidRPr="0048576C" w:rsidRDefault="00BB0627" w:rsidP="001D12DA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р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азвития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К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ыштымского</w:t>
                  </w:r>
                </w:p>
                <w:p w:rsidR="00BB0627" w:rsidRDefault="00BB0627" w:rsidP="001D12DA"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городского округа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-33.55pt;margin-top:14.2pt;width:186pt;height:129.75pt;z-index:251646464" arcsize="10923f" strokecolor="#002060" strokeweight="3pt">
            <v:stroke linestyle="thinThin"/>
            <v:textbox>
              <w:txbxContent>
                <w:p w:rsidR="00BB0627" w:rsidRPr="0048576C" w:rsidRDefault="00BB0627" w:rsidP="001D12DA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Бюджетное послание</w:t>
                  </w:r>
                </w:p>
                <w:p w:rsidR="00BB0627" w:rsidRPr="0048576C" w:rsidRDefault="00BB0627" w:rsidP="001D12DA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Президента РФ </w:t>
                  </w:r>
                </w:p>
                <w:p w:rsidR="00BB0627" w:rsidRPr="0048576C" w:rsidRDefault="00BB0627" w:rsidP="001D12DA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Федеральному Собранию РФ, </w:t>
                  </w:r>
                </w:p>
                <w:p w:rsidR="00BB0627" w:rsidRPr="0048576C" w:rsidRDefault="00BB0627" w:rsidP="001D12DA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о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бюджетной политике</w:t>
                  </w:r>
                </w:p>
                <w:p w:rsidR="00BB0627" w:rsidRDefault="00BB0627" w:rsidP="0048576C"/>
              </w:txbxContent>
            </v:textbox>
          </v:roundrect>
        </w:pict>
      </w: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0C33E8" w:rsidP="00136FC5">
      <w:pPr>
        <w:ind w:right="-143"/>
      </w:pPr>
      <w:r>
        <w:rPr>
          <w:noProof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6" type="#_x0000_t91" style="position:absolute;margin-left:159.6pt;margin-top:15.6pt;width:54pt;height:66.75pt;rotation:90;z-index:251651584" adj="15420,3155" fillcolor="#95b3d7">
            <v:fill color2="fill darken(118)" rotate="t" method="linear sigma" focus="-50%" type="gradient"/>
          </v:shape>
        </w:pict>
      </w:r>
    </w:p>
    <w:p w:rsidR="004622BC" w:rsidRDefault="004622BC" w:rsidP="00136FC5">
      <w:pPr>
        <w:ind w:right="-143"/>
      </w:pPr>
    </w:p>
    <w:p w:rsidR="004622BC" w:rsidRDefault="000C33E8" w:rsidP="00136FC5">
      <w:pPr>
        <w:ind w:right="-143"/>
      </w:pPr>
      <w:r>
        <w:rPr>
          <w:noProof/>
          <w:lang w:eastAsia="ru-RU"/>
        </w:rPr>
        <w:pict>
          <v:shape id="_x0000_s1037" type="#_x0000_t91" style="position:absolute;margin-left:371.45pt;margin-top:12.5pt;width:54pt;height:66.75pt;rotation:180;z-index:251654656" adj="15420,3155" fillcolor="#95b3d7">
            <v:fill color2="fill darken(118)" rotate="t" method="linear sigma" focus="-50%" type="gradient"/>
          </v:shape>
        </w:pict>
      </w:r>
    </w:p>
    <w:p w:rsidR="004622BC" w:rsidRDefault="000C33E8" w:rsidP="00136FC5">
      <w:pPr>
        <w:ind w:right="-143"/>
      </w:pPr>
      <w:r>
        <w:rPr>
          <w:noProof/>
          <w:lang w:eastAsia="ru-RU"/>
        </w:rPr>
        <w:pict>
          <v:oval id="_x0000_s1038" style="position:absolute;margin-left:141.2pt;margin-top:-.25pt;width:230.25pt;height:81pt;z-index:251650560" strokecolor="#1f497d" strokeweight="3pt">
            <v:stroke linestyle="thinThin"/>
            <v:textbox>
              <w:txbxContent>
                <w:p w:rsidR="00BB0627" w:rsidRPr="00210FBE" w:rsidRDefault="00BB0627" w:rsidP="001D12DA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ПРОЕКТ БЮДЖЕТА</w:t>
                  </w:r>
                </w:p>
                <w:p w:rsidR="00BB0627" w:rsidRPr="00210FBE" w:rsidRDefault="00BB0627" w:rsidP="001D12DA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На 2024</w:t>
                  </w: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-20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 xml:space="preserve">26 </w:t>
                  </w: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годы</w:t>
                  </w:r>
                </w:p>
              </w:txbxContent>
            </v:textbox>
          </v:oval>
        </w:pict>
      </w:r>
    </w:p>
    <w:p w:rsidR="004622BC" w:rsidRDefault="000C33E8" w:rsidP="00136FC5">
      <w:pPr>
        <w:ind w:right="-143"/>
      </w:pPr>
      <w:r>
        <w:rPr>
          <w:noProof/>
          <w:lang w:eastAsia="ru-RU"/>
        </w:rPr>
        <w:pict>
          <v:shape id="_x0000_s1039" type="#_x0000_t91" style="position:absolute;margin-left:87.2pt;margin-top:2.7pt;width:54pt;height:66.75pt;z-index:251652608" adj="15420,3155" fillcolor="#95b3d7">
            <v:fill color2="fill darken(118)" rotate="t" method="linear sigma" focus="-50%" type="gradient"/>
          </v:shape>
        </w:pict>
      </w:r>
    </w:p>
    <w:p w:rsidR="004622BC" w:rsidRDefault="004622BC" w:rsidP="00136FC5">
      <w:pPr>
        <w:ind w:right="-143"/>
      </w:pPr>
    </w:p>
    <w:p w:rsidR="004622BC" w:rsidRDefault="000C33E8" w:rsidP="00136FC5">
      <w:pPr>
        <w:ind w:right="-143"/>
      </w:pPr>
      <w:r>
        <w:rPr>
          <w:noProof/>
          <w:lang w:eastAsia="ru-RU"/>
        </w:rPr>
        <w:pict>
          <v:shape id="_x0000_s1040" type="#_x0000_t91" style="position:absolute;margin-left:278.85pt;margin-top:2.2pt;width:54pt;height:66.75pt;rotation:270;z-index:251653632" adj="15420,3155" fillcolor="#95b3d7">
            <v:fill color2="fill darken(118)" rotate="t" method="linear sigma" focus="-50%" type="gradient"/>
          </v:shape>
        </w:pict>
      </w:r>
      <w:r>
        <w:rPr>
          <w:noProof/>
          <w:lang w:eastAsia="ru-RU"/>
        </w:rPr>
        <w:pict>
          <v:roundrect id="_x0000_s1041" style="position:absolute;margin-left:345.2pt;margin-top:17.6pt;width:186pt;height:149.25pt;z-index:251648512" arcsize="10923f" strokecolor="#002060" strokeweight="3pt">
            <v:stroke linestyle="thinThin"/>
            <v:textbox>
              <w:txbxContent>
                <w:p w:rsidR="00BB0627" w:rsidRPr="0048576C" w:rsidRDefault="00BB0627" w:rsidP="001D12DA">
                  <w:pPr>
                    <w:rPr>
                      <w:rFonts w:ascii="Times New Roman" w:hAnsi="Times New Roman" w:cs="Times New Roman"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Муниципальные программы Кыштымского городского округа</w:t>
                  </w:r>
                </w:p>
                <w:p w:rsidR="00BB0627" w:rsidRDefault="00BB0627" w:rsidP="001D12DA"/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-33.55pt;margin-top:21.35pt;width:210pt;height:150pt;z-index:251647488" arcsize="10923f" strokecolor="#002060" strokeweight="3pt">
            <v:stroke linestyle="thinThin"/>
            <v:textbox>
              <w:txbxContent>
                <w:p w:rsidR="00BB0627" w:rsidRPr="0048576C" w:rsidRDefault="00BB0627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Основные направления </w:t>
                  </w:r>
                </w:p>
                <w:p w:rsidR="00BB0627" w:rsidRPr="0048576C" w:rsidRDefault="00BB0627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бюджетной политики и </w:t>
                  </w:r>
                </w:p>
                <w:p w:rsidR="00BB0627" w:rsidRPr="0048576C" w:rsidRDefault="00BB0627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основные направления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</w:p>
                <w:p w:rsidR="00BB0627" w:rsidRDefault="00BB0627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налоговой  политики </w:t>
                  </w:r>
                </w:p>
                <w:p w:rsidR="00BB0627" w:rsidRPr="0048576C" w:rsidRDefault="00BB0627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Кыштымского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городского округа</w:t>
                  </w:r>
                </w:p>
                <w:p w:rsidR="00BB0627" w:rsidRDefault="00BB0627" w:rsidP="0048576C"/>
              </w:txbxContent>
            </v:textbox>
          </v:roundrect>
        </w:pict>
      </w: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Pr="00C4753B" w:rsidRDefault="004622BC" w:rsidP="00A12EDF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1F497D"/>
          <w:sz w:val="48"/>
          <w:szCs w:val="48"/>
        </w:rPr>
      </w:pP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lastRenderedPageBreak/>
        <w:t>Основные направления бюджетной политики Кыштымского городского округа на 202</w:t>
      </w:r>
      <w:r w:rsidR="00185AA8"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>4</w:t>
      </w: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 xml:space="preserve"> год</w:t>
      </w:r>
    </w:p>
    <w:p w:rsidR="004622BC" w:rsidRPr="00C4753B" w:rsidRDefault="004622BC" w:rsidP="00A12EDF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1F497D"/>
          <w:sz w:val="48"/>
          <w:szCs w:val="48"/>
        </w:rPr>
      </w:pP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>и на плановый период 202</w:t>
      </w:r>
      <w:r w:rsidR="00185AA8"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>5</w:t>
      </w: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 xml:space="preserve"> и 202</w:t>
      </w:r>
      <w:r w:rsidR="00185AA8"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>6</w:t>
      </w: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 xml:space="preserve"> годов</w:t>
      </w:r>
    </w:p>
    <w:p w:rsidR="00BD1774" w:rsidRDefault="00BD1774" w:rsidP="0023236F">
      <w:pPr>
        <w:spacing w:after="60" w:line="240" w:lineRule="auto"/>
        <w:rPr>
          <w:rFonts w:ascii="Times New Roman" w:hAnsi="Times New Roman" w:cs="Times New Roman"/>
          <w:b/>
          <w:color w:val="0F243E"/>
          <w:sz w:val="36"/>
          <w:szCs w:val="36"/>
        </w:rPr>
      </w:pPr>
    </w:p>
    <w:p w:rsidR="0023236F" w:rsidRPr="00E0050A" w:rsidRDefault="0023236F" w:rsidP="0023236F">
      <w:pPr>
        <w:spacing w:after="60" w:line="240" w:lineRule="auto"/>
        <w:rPr>
          <w:rFonts w:ascii="Times New Roman" w:hAnsi="Times New Roman" w:cs="Times New Roman"/>
          <w:b/>
          <w:color w:val="0F243E"/>
          <w:sz w:val="36"/>
          <w:szCs w:val="36"/>
        </w:rPr>
      </w:pPr>
      <w:r w:rsidRPr="00E0050A">
        <w:rPr>
          <w:rFonts w:ascii="Times New Roman" w:hAnsi="Times New Roman" w:cs="Times New Roman"/>
          <w:b/>
          <w:color w:val="0F243E"/>
          <w:sz w:val="36"/>
          <w:szCs w:val="36"/>
        </w:rPr>
        <w:t>Цель:</w:t>
      </w:r>
    </w:p>
    <w:p w:rsidR="004622BC" w:rsidRPr="00E0050A" w:rsidRDefault="000C33E8" w:rsidP="00A12EDF">
      <w:pPr>
        <w:spacing w:after="60" w:line="240" w:lineRule="auto"/>
        <w:rPr>
          <w:rFonts w:ascii="Times New Roman" w:hAnsi="Times New Roman" w:cs="Times New Roman"/>
          <w:b/>
          <w:bCs/>
          <w:color w:val="1F497D"/>
          <w:sz w:val="44"/>
          <w:szCs w:val="44"/>
        </w:rPr>
      </w:pPr>
      <w:r w:rsidRPr="000C33E8">
        <w:rPr>
          <w:rFonts w:ascii="Times New Roman" w:hAnsi="Times New Roman" w:cs="Times New Roman"/>
          <w:noProof/>
          <w:lang w:eastAsia="ru-RU"/>
        </w:rPr>
        <w:pict>
          <v:roundrect id="_x0000_s1043" style="position:absolute;margin-left:3.95pt;margin-top:2.65pt;width:514.5pt;height:52.2pt;z-index:251655680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BB0627" w:rsidRPr="002B7451" w:rsidRDefault="00BB0627" w:rsidP="00740D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4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Обеспечение  устойчивости исполнения  местного бюджета </w:t>
                  </w:r>
                </w:p>
                <w:p w:rsidR="00BB0627" w:rsidRPr="00E61C1C" w:rsidRDefault="00BB0627" w:rsidP="00E61C1C"/>
              </w:txbxContent>
            </v:textbox>
          </v:roundrect>
        </w:pict>
      </w:r>
    </w:p>
    <w:p w:rsidR="004622BC" w:rsidRPr="00E0050A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Pr="00E0050A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Pr="00E0050A" w:rsidRDefault="0023236F" w:rsidP="00A12EDF">
      <w:pPr>
        <w:spacing w:after="60" w:line="240" w:lineRule="auto"/>
        <w:rPr>
          <w:rFonts w:ascii="Times New Roman" w:hAnsi="Times New Roman" w:cs="Times New Roman"/>
          <w:b/>
          <w:color w:val="0F243E"/>
          <w:sz w:val="36"/>
          <w:szCs w:val="36"/>
        </w:rPr>
      </w:pPr>
      <w:r w:rsidRPr="00E0050A">
        <w:rPr>
          <w:rFonts w:ascii="Times New Roman" w:hAnsi="Times New Roman" w:cs="Times New Roman"/>
          <w:b/>
          <w:color w:val="0F243E"/>
          <w:sz w:val="36"/>
          <w:szCs w:val="36"/>
        </w:rPr>
        <w:t>Задачи:</w:t>
      </w:r>
    </w:p>
    <w:p w:rsidR="004622BC" w:rsidRPr="00E0050A" w:rsidRDefault="000C33E8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  <w:r w:rsidRPr="000C33E8">
        <w:rPr>
          <w:rFonts w:ascii="Times New Roman" w:hAnsi="Times New Roman" w:cs="Times New Roman"/>
          <w:noProof/>
          <w:lang w:eastAsia="ru-RU"/>
        </w:rPr>
        <w:pict>
          <v:roundrect id="_x0000_s1044" style="position:absolute;margin-left:57.2pt;margin-top:12.05pt;width:461.25pt;height:53.1pt;z-index:25166080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BB0627" w:rsidRPr="00740DC7" w:rsidRDefault="00BB0627" w:rsidP="00740D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C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Сохранение уровня расходных обязательств по всем первоочередным и социально-значимым направлениям. </w:t>
                  </w:r>
                </w:p>
                <w:p w:rsidR="00BB0627" w:rsidRPr="00B03EE0" w:rsidRDefault="00BB0627" w:rsidP="00B03EE0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Pr="000C33E8">
        <w:rPr>
          <w:rFonts w:ascii="Times New Roman" w:hAnsi="Times New Roman" w:cs="Times New Roman"/>
          <w:noProof/>
          <w:lang w:eastAsia="ru-RU"/>
        </w:rPr>
        <w:pict>
          <v:roundrect id="_x0000_s1045" style="position:absolute;margin-left:-11.8pt;margin-top:23.15pt;width:52.5pt;height:42pt;z-index:251656704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BB0627" w:rsidRPr="00312B93" w:rsidRDefault="00BB0627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oundrect>
        </w:pict>
      </w:r>
    </w:p>
    <w:p w:rsidR="004622BC" w:rsidRPr="00E0050A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Pr="00E0050A" w:rsidRDefault="007663F0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  <w:sectPr w:rsidR="004622BC" w:rsidRPr="00E0050A" w:rsidSect="00360869">
          <w:pgSz w:w="11906" w:h="16838"/>
          <w:pgMar w:top="709" w:right="849" w:bottom="425" w:left="851" w:header="709" w:footer="709" w:gutter="0"/>
          <w:cols w:space="708"/>
          <w:docGrid w:linePitch="360"/>
        </w:sectPr>
      </w:pPr>
      <w:r w:rsidRPr="000C33E8">
        <w:rPr>
          <w:rFonts w:ascii="Times New Roman" w:hAnsi="Times New Roman" w:cs="Times New Roman"/>
          <w:noProof/>
          <w:lang w:eastAsia="ru-RU"/>
        </w:rPr>
        <w:pict>
          <v:roundrect id="_x0000_s1069" style="position:absolute;margin-left:-11.8pt;margin-top:430.9pt;width:49.5pt;height:42pt;z-index:251680256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9">
              <w:txbxContent>
                <w:p w:rsidR="00BB0627" w:rsidRPr="00312B93" w:rsidRDefault="00BB0627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roundrect>
        </w:pict>
      </w:r>
      <w:r w:rsidRPr="000C33E8">
        <w:rPr>
          <w:rFonts w:ascii="Times New Roman" w:hAnsi="Times New Roman" w:cs="Times New Roman"/>
          <w:noProof/>
          <w:lang w:eastAsia="ru-RU"/>
        </w:rPr>
        <w:pict>
          <v:roundrect id="_x0000_s1072" style="position:absolute;margin-left:64.85pt;margin-top:425.9pt;width:461.85pt;height:62.85pt;z-index:25168332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BB0627" w:rsidRPr="00E11166" w:rsidRDefault="00BB0627" w:rsidP="00E111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1116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Учет мнения граждан (путем проведения открытого голосования или конкурсного отбора) на этапе до распределения субсидии и иных межбюджетных трансфертов из областного бюджета Кыштымскому городскому округу. </w:t>
                  </w:r>
                </w:p>
                <w:p w:rsidR="00BB0627" w:rsidRPr="00B03EE0" w:rsidRDefault="00BB0627" w:rsidP="00E11166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51" style="position:absolute;margin-left:65pt;margin-top:163.85pt;width:462pt;height:51.4pt;z-index:251663872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BB0627" w:rsidRPr="00F31F7C" w:rsidRDefault="00BB0627" w:rsidP="00F31F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Безусловное исполнение публичных нормативных обязательств Кыштымского городского округа. </w:t>
                  </w:r>
                </w:p>
                <w:p w:rsidR="00BB0627" w:rsidRPr="00335448" w:rsidRDefault="00BB0627" w:rsidP="0033544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49" style="position:absolute;margin-left:57.2pt;margin-top:91pt;width:474.1pt;height:62.65pt;z-index:25166284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BB0627" w:rsidRPr="00F6584B" w:rsidRDefault="00BB0627" w:rsidP="00F658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58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Приоритизация расходов местного бюджета с учетом прогнозируемой экономической ситуации и выполнения обязательств Кыштымского городского округа по социально-экономическому развитию</w:t>
                  </w:r>
                </w:p>
                <w:p w:rsidR="00BB0627" w:rsidRPr="00F6584B" w:rsidRDefault="00BB0627" w:rsidP="00F6584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50" style="position:absolute;margin-left:57.2pt;margin-top:28.95pt;width:457.5pt;height:48pt;z-index:25166182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BB0627" w:rsidRPr="00740DC7" w:rsidRDefault="00BB0627" w:rsidP="00740D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0D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Обеспечение сбалансированности бюджета Кыштымского городского округа. </w:t>
                  </w:r>
                </w:p>
                <w:p w:rsidR="00BB0627" w:rsidRPr="00740DC7" w:rsidRDefault="00BB0627" w:rsidP="00740DC7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71" style="position:absolute;margin-left:64.7pt;margin-top:306.3pt;width:462pt;height:110.6pt;z-index:25168230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BB0627" w:rsidRPr="002675FD" w:rsidRDefault="00BB0627" w:rsidP="002675F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Сохранение достигнутого уровня целевых показателей Указов Президента РФ от 07.05.2012 в части оплаты труда работников бюджетного сектора, а также обеспечение  минимального </w:t>
                  </w:r>
                  <w:proofErr w:type="gramStart"/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размера оплаты труда</w:t>
                  </w:r>
                  <w:proofErr w:type="gramEnd"/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 соответствии с Федеральным законом «О минимальном размере оплаты труда». </w:t>
                  </w:r>
                </w:p>
                <w:p w:rsidR="00BB0627" w:rsidRPr="00335448" w:rsidRDefault="00BB0627" w:rsidP="00C30EA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68" style="position:absolute;margin-left:-8.8pt;margin-top:334.4pt;width:49.5pt;height:42pt;z-index:251679232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8">
              <w:txbxContent>
                <w:p w:rsidR="00BB0627" w:rsidRPr="00312B93" w:rsidRDefault="00BB0627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67" style="position:absolute;margin-left:-8.8pt;margin-top:241.05pt;width:49.5pt;height:42pt;z-index:251678208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7">
              <w:txbxContent>
                <w:p w:rsidR="00BB0627" w:rsidRPr="00312B93" w:rsidRDefault="00BB0627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70" style="position:absolute;margin-left:64.7pt;margin-top:226.05pt;width:462pt;height:69pt;z-index:25168128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BB0627" w:rsidRPr="00F31F7C" w:rsidRDefault="00BB0627" w:rsidP="00F31F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Полное исполнение реализации муниципальных программ и региональных проектов  </w:t>
                  </w:r>
                  <w:proofErr w:type="gramStart"/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согласно паспортов</w:t>
                  </w:r>
                  <w:proofErr w:type="gramEnd"/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региональных проектов, в соответствии Указом Президента РФ. </w:t>
                  </w:r>
                </w:p>
                <w:p w:rsidR="00BB0627" w:rsidRPr="00335448" w:rsidRDefault="00BB0627" w:rsidP="00C30EA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48" style="position:absolute;margin-left:-8.8pt;margin-top:163.85pt;width:49.5pt;height:42pt;z-index:251659776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BB0627" w:rsidRPr="00312B93" w:rsidRDefault="00BB0627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47" style="position:absolute;margin-left:-11.8pt;margin-top:104.25pt;width:49.5pt;height:43.2pt;z-index:251658752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BB0627" w:rsidRPr="00312B93" w:rsidRDefault="00BB0627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roundrect>
        </w:pict>
      </w:r>
      <w:r w:rsidR="000C33E8" w:rsidRPr="000C33E8">
        <w:rPr>
          <w:rFonts w:ascii="Times New Roman" w:hAnsi="Times New Roman" w:cs="Times New Roman"/>
          <w:noProof/>
          <w:lang w:eastAsia="ru-RU"/>
        </w:rPr>
        <w:pict>
          <v:roundrect id="_x0000_s1046" style="position:absolute;margin-left:-11.8pt;margin-top:40.65pt;width:49.5pt;height:42pt;z-index:251657728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BB0627" w:rsidRPr="00312B93" w:rsidRDefault="00BB0627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roundrect>
        </w:pict>
      </w:r>
    </w:p>
    <w:p w:rsidR="004622BC" w:rsidRPr="00E0050A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lastRenderedPageBreak/>
        <w:t xml:space="preserve">Параметры бюджета </w:t>
      </w:r>
    </w:p>
    <w:p w:rsidR="004622BC" w:rsidRPr="00E0050A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Кыштымского городского округа </w:t>
      </w:r>
    </w:p>
    <w:p w:rsidR="004622BC" w:rsidRPr="00E0050A" w:rsidRDefault="001B0E11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t>на 202</w:t>
      </w:r>
      <w:r w:rsidR="00185AA8" w:rsidRPr="00E0050A">
        <w:rPr>
          <w:rFonts w:ascii="Times New Roman" w:hAnsi="Times New Roman" w:cs="Times New Roman"/>
          <w:b/>
          <w:color w:val="1F497D"/>
          <w:sz w:val="44"/>
          <w:szCs w:val="44"/>
        </w:rPr>
        <w:t>4</w:t>
      </w: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год и плановый период 202</w:t>
      </w:r>
      <w:r w:rsidR="00185AA8" w:rsidRPr="00E0050A">
        <w:rPr>
          <w:rFonts w:ascii="Times New Roman" w:hAnsi="Times New Roman" w:cs="Times New Roman"/>
          <w:b/>
          <w:color w:val="1F497D"/>
          <w:sz w:val="44"/>
          <w:szCs w:val="44"/>
        </w:rPr>
        <w:t>5</w:t>
      </w:r>
      <w:r w:rsidR="004622BC" w:rsidRPr="00E0050A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и 20</w:t>
      </w: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t>2</w:t>
      </w:r>
      <w:r w:rsidR="00185AA8" w:rsidRPr="00E0050A">
        <w:rPr>
          <w:rFonts w:ascii="Times New Roman" w:hAnsi="Times New Roman" w:cs="Times New Roman"/>
          <w:b/>
          <w:color w:val="1F497D"/>
          <w:sz w:val="44"/>
          <w:szCs w:val="44"/>
        </w:rPr>
        <w:t>6</w:t>
      </w:r>
      <w:r w:rsidR="004622BC" w:rsidRPr="00E0050A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годов</w:t>
      </w:r>
    </w:p>
    <w:p w:rsidR="004622BC" w:rsidRPr="00E0050A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</w:p>
    <w:p w:rsidR="004622BC" w:rsidRPr="00E0050A" w:rsidRDefault="00943D71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984806"/>
          <w:sz w:val="40"/>
          <w:szCs w:val="40"/>
        </w:rPr>
      </w:pPr>
      <w:r w:rsidRPr="00E0050A">
        <w:rPr>
          <w:rFonts w:ascii="Times New Roman" w:hAnsi="Times New Roman" w:cs="Times New Roman"/>
          <w:b/>
          <w:noProof/>
          <w:color w:val="984806"/>
          <w:sz w:val="40"/>
          <w:szCs w:val="40"/>
          <w:lang w:eastAsia="ru-RU"/>
        </w:rPr>
        <w:drawing>
          <wp:inline distT="0" distB="0" distL="0" distR="0">
            <wp:extent cx="6289222" cy="3633107"/>
            <wp:effectExtent l="19050" t="0" r="16328" b="5443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22BC" w:rsidRPr="00E0050A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984806"/>
          <w:sz w:val="40"/>
          <w:szCs w:val="40"/>
        </w:rPr>
      </w:pPr>
    </w:p>
    <w:p w:rsidR="004622BC" w:rsidRPr="00E0050A" w:rsidRDefault="004622BC">
      <w:pPr>
        <w:rPr>
          <w:rFonts w:ascii="Times New Roman" w:hAnsi="Times New Roman" w:cs="Times New Roman"/>
        </w:rPr>
      </w:pPr>
    </w:p>
    <w:p w:rsidR="004622BC" w:rsidRPr="00E0050A" w:rsidRDefault="004622BC">
      <w:pPr>
        <w:rPr>
          <w:rFonts w:ascii="Times New Roman" w:hAnsi="Times New Roman" w:cs="Times New Roman"/>
        </w:rPr>
      </w:pPr>
    </w:p>
    <w:p w:rsidR="004622BC" w:rsidRPr="00E0050A" w:rsidRDefault="004622BC">
      <w:pPr>
        <w:rPr>
          <w:rFonts w:ascii="Times New Roman" w:hAnsi="Times New Roman" w:cs="Times New Roman"/>
        </w:rPr>
      </w:pPr>
    </w:p>
    <w:p w:rsidR="004622BC" w:rsidRPr="00E0050A" w:rsidRDefault="004622BC">
      <w:pPr>
        <w:rPr>
          <w:rFonts w:ascii="Times New Roman" w:hAnsi="Times New Roman" w:cs="Times New Roman"/>
        </w:rPr>
      </w:pP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Pr="0028523A" w:rsidRDefault="004622BC">
      <w:pPr>
        <w:rPr>
          <w:lang w:val="en-US"/>
        </w:rPr>
      </w:pPr>
    </w:p>
    <w:p w:rsidR="004622BC" w:rsidRPr="00E0050A" w:rsidRDefault="004622BC" w:rsidP="00CE28D2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 xml:space="preserve">Нормативы отчислений в бюджет </w:t>
      </w:r>
    </w:p>
    <w:p w:rsidR="004622BC" w:rsidRPr="00E0050A" w:rsidRDefault="004622BC" w:rsidP="00CE28D2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Кыштымского городского округа</w:t>
      </w:r>
      <w:proofErr w:type="gramStart"/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(%)</w:t>
      </w:r>
      <w:proofErr w:type="gramEnd"/>
    </w:p>
    <w:tbl>
      <w:tblPr>
        <w:tblpPr w:leftFromText="180" w:rightFromText="180" w:vertAnchor="text" w:horzAnchor="margin" w:tblpXSpec="center" w:tblpY="336"/>
        <w:tblW w:w="1031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1E0"/>
      </w:tblPr>
      <w:tblGrid>
        <w:gridCol w:w="1809"/>
        <w:gridCol w:w="2268"/>
        <w:gridCol w:w="1560"/>
        <w:gridCol w:w="1559"/>
        <w:gridCol w:w="1559"/>
        <w:gridCol w:w="1559"/>
      </w:tblGrid>
      <w:tr w:rsidR="004622BC" w:rsidRPr="00E0050A" w:rsidTr="001F40E0">
        <w:tc>
          <w:tcPr>
            <w:tcW w:w="1809" w:type="dxa"/>
          </w:tcPr>
          <w:p w:rsidR="004622BC" w:rsidRPr="00E0050A" w:rsidRDefault="004622BC" w:rsidP="00CD6183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Налоги, сборы, установленные законодательством</w:t>
            </w:r>
          </w:p>
        </w:tc>
        <w:tc>
          <w:tcPr>
            <w:tcW w:w="1560" w:type="dxa"/>
            <w:vAlign w:val="center"/>
          </w:tcPr>
          <w:p w:rsidR="004622BC" w:rsidRPr="00E0050A" w:rsidRDefault="001B0E11" w:rsidP="0037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85AA8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622BC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22BC" w:rsidRPr="00E0050A" w:rsidRDefault="001B0E11" w:rsidP="0037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85AA8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622BC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22BC" w:rsidRPr="00E0050A" w:rsidRDefault="001B0E11" w:rsidP="0037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85AA8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622BC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37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1B0E11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85AA8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E638C"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4622BC" w:rsidRPr="00E0050A" w:rsidTr="001F40E0">
        <w:trPr>
          <w:trHeight w:val="573"/>
        </w:trPr>
        <w:tc>
          <w:tcPr>
            <w:tcW w:w="1809" w:type="dxa"/>
            <w:vMerge w:val="restart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Федеральные налоги</w:t>
            </w:r>
          </w:p>
        </w:tc>
        <w:tc>
          <w:tcPr>
            <w:tcW w:w="2268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</w:tcPr>
          <w:p w:rsidR="004622BC" w:rsidRPr="00E0050A" w:rsidRDefault="00185AA8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36,42933018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185AA8"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3,15117005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18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185AA8"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3C5FA5"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185AA8"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93887218</w:t>
            </w:r>
          </w:p>
        </w:tc>
        <w:tc>
          <w:tcPr>
            <w:tcW w:w="1559" w:type="dxa"/>
            <w:vAlign w:val="center"/>
          </w:tcPr>
          <w:p w:rsidR="004622BC" w:rsidRPr="00E0050A" w:rsidRDefault="00185AA8" w:rsidP="0018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3C5FA5"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09133486</w:t>
            </w:r>
          </w:p>
        </w:tc>
      </w:tr>
      <w:tr w:rsidR="004622BC" w:rsidRPr="00E0050A" w:rsidTr="001F40E0">
        <w:trPr>
          <w:trHeight w:val="539"/>
        </w:trPr>
        <w:tc>
          <w:tcPr>
            <w:tcW w:w="1809" w:type="dxa"/>
            <w:vMerge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Акцизы на нефтепродукты (от </w:t>
            </w:r>
            <w:proofErr w:type="gramStart"/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суммы</w:t>
            </w:r>
            <w:proofErr w:type="gramEnd"/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зачисляемой  в областной бюджет)</w:t>
            </w:r>
          </w:p>
        </w:tc>
        <w:tc>
          <w:tcPr>
            <w:tcW w:w="1560" w:type="dxa"/>
            <w:vAlign w:val="center"/>
          </w:tcPr>
          <w:p w:rsidR="004622BC" w:rsidRPr="00E0050A" w:rsidRDefault="00185AA8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0,12363759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0,12</w:t>
            </w:r>
            <w:r w:rsidR="00185AA8"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166462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2BC" w:rsidRPr="00E0050A" w:rsidRDefault="00185AA8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0,12166462</w:t>
            </w:r>
          </w:p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622BC" w:rsidRPr="00E0050A" w:rsidRDefault="00185AA8" w:rsidP="0018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0,12166462</w:t>
            </w:r>
          </w:p>
        </w:tc>
      </w:tr>
      <w:tr w:rsidR="004622BC" w:rsidRPr="00E0050A" w:rsidTr="001F40E0">
        <w:trPr>
          <w:trHeight w:val="532"/>
        </w:trPr>
        <w:tc>
          <w:tcPr>
            <w:tcW w:w="1809" w:type="dxa"/>
            <w:vMerge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(в соответствии с возложенными полномочиями)</w:t>
            </w:r>
          </w:p>
        </w:tc>
        <w:tc>
          <w:tcPr>
            <w:tcW w:w="1560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C5FA5" w:rsidRPr="00E0050A" w:rsidTr="003C5FA5">
        <w:trPr>
          <w:trHeight w:val="1655"/>
        </w:trPr>
        <w:tc>
          <w:tcPr>
            <w:tcW w:w="1809" w:type="dxa"/>
            <w:vMerge w:val="restart"/>
            <w:vAlign w:val="center"/>
          </w:tcPr>
          <w:p w:rsidR="003C5FA5" w:rsidRPr="00E0050A" w:rsidRDefault="003C5FA5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со специальными налоговыми режимами</w:t>
            </w:r>
          </w:p>
        </w:tc>
        <w:tc>
          <w:tcPr>
            <w:tcW w:w="2268" w:type="dxa"/>
            <w:vAlign w:val="center"/>
          </w:tcPr>
          <w:p w:rsidR="003C5FA5" w:rsidRPr="00E0050A" w:rsidRDefault="003C5FA5" w:rsidP="003C5F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560" w:type="dxa"/>
            <w:vAlign w:val="center"/>
          </w:tcPr>
          <w:p w:rsidR="003C5FA5" w:rsidRPr="00E0050A" w:rsidRDefault="003C5FA5" w:rsidP="003C5F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3C5FA5" w:rsidRPr="00E0050A" w:rsidRDefault="003C5FA5" w:rsidP="003C5F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3C5FA5" w:rsidRPr="00E0050A" w:rsidRDefault="003C5FA5" w:rsidP="003C5F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3C5FA5" w:rsidRPr="00E0050A" w:rsidRDefault="003C5FA5" w:rsidP="003C5F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622BC" w:rsidRPr="00E0050A" w:rsidTr="001F40E0">
        <w:trPr>
          <w:trHeight w:val="454"/>
        </w:trPr>
        <w:tc>
          <w:tcPr>
            <w:tcW w:w="1809" w:type="dxa"/>
            <w:vMerge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22BC" w:rsidRPr="00E0050A" w:rsidTr="001F40E0">
        <w:tc>
          <w:tcPr>
            <w:tcW w:w="1809" w:type="dxa"/>
            <w:vMerge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22BC" w:rsidRPr="00E0050A" w:rsidTr="001F40E0">
        <w:trPr>
          <w:trHeight w:val="454"/>
        </w:trPr>
        <w:tc>
          <w:tcPr>
            <w:tcW w:w="1809" w:type="dxa"/>
            <w:vMerge w:val="restart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Местные налоги</w:t>
            </w:r>
          </w:p>
        </w:tc>
        <w:tc>
          <w:tcPr>
            <w:tcW w:w="2268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22BC" w:rsidRPr="00E0050A" w:rsidTr="001F40E0">
        <w:trPr>
          <w:trHeight w:val="454"/>
        </w:trPr>
        <w:tc>
          <w:tcPr>
            <w:tcW w:w="1809" w:type="dxa"/>
            <w:vMerge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4622BC" w:rsidRPr="00E0050A" w:rsidRDefault="004622BC" w:rsidP="00CD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622BC" w:rsidRPr="00E0050A" w:rsidRDefault="004622BC" w:rsidP="00D030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22BC" w:rsidRPr="00E0050A" w:rsidRDefault="004622BC" w:rsidP="00D030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22BC" w:rsidRPr="00E0050A" w:rsidRDefault="004622BC" w:rsidP="00D030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40E0" w:rsidRPr="00E0050A" w:rsidRDefault="001F40E0" w:rsidP="001F40E0">
      <w:pPr>
        <w:rPr>
          <w:rFonts w:ascii="Times New Roman" w:hAnsi="Times New Roman" w:cs="Times New Roman"/>
          <w:b/>
          <w:bCs/>
          <w:color w:val="632423"/>
          <w:sz w:val="40"/>
          <w:szCs w:val="40"/>
        </w:rPr>
      </w:pPr>
    </w:p>
    <w:p w:rsidR="00CE28D2" w:rsidRPr="00E0050A" w:rsidRDefault="00CE28D2" w:rsidP="00D06531">
      <w:pPr>
        <w:jc w:val="center"/>
        <w:rPr>
          <w:rFonts w:ascii="Times New Roman" w:hAnsi="Times New Roman" w:cs="Times New Roman"/>
          <w:b/>
          <w:color w:val="632423"/>
          <w:sz w:val="40"/>
          <w:szCs w:val="40"/>
        </w:rPr>
      </w:pPr>
    </w:p>
    <w:p w:rsidR="004622BC" w:rsidRPr="00E0050A" w:rsidRDefault="004622BC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Доходы бюджета Кыштымского городского округа</w:t>
      </w:r>
    </w:p>
    <w:p w:rsidR="004622BC" w:rsidRPr="00E0050A" w:rsidRDefault="004F32FD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color w:val="002060"/>
          <w:sz w:val="40"/>
          <w:szCs w:val="40"/>
        </w:rPr>
        <w:t>на 202</w:t>
      </w:r>
      <w:r w:rsidR="00185AA8" w:rsidRPr="00E0050A">
        <w:rPr>
          <w:rFonts w:ascii="Times New Roman" w:hAnsi="Times New Roman" w:cs="Times New Roman"/>
          <w:b/>
          <w:color w:val="002060"/>
          <w:sz w:val="40"/>
          <w:szCs w:val="40"/>
        </w:rPr>
        <w:t>4</w:t>
      </w:r>
      <w:r w:rsidRPr="00E0050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год и </w:t>
      </w:r>
      <w:r w:rsidR="00185AA8" w:rsidRPr="00E0050A">
        <w:rPr>
          <w:rFonts w:ascii="Times New Roman" w:hAnsi="Times New Roman" w:cs="Times New Roman"/>
          <w:b/>
          <w:color w:val="002060"/>
          <w:sz w:val="40"/>
          <w:szCs w:val="40"/>
        </w:rPr>
        <w:t>плановый период 2025</w:t>
      </w:r>
      <w:r w:rsidR="003C5FA5" w:rsidRPr="00E0050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="004622BC" w:rsidRPr="00E0050A">
        <w:rPr>
          <w:rFonts w:ascii="Times New Roman" w:hAnsi="Times New Roman" w:cs="Times New Roman"/>
          <w:b/>
          <w:color w:val="002060"/>
          <w:sz w:val="40"/>
          <w:szCs w:val="40"/>
        </w:rPr>
        <w:t>и 20</w:t>
      </w:r>
      <w:r w:rsidR="00185AA8" w:rsidRPr="00E0050A">
        <w:rPr>
          <w:rFonts w:ascii="Times New Roman" w:hAnsi="Times New Roman" w:cs="Times New Roman"/>
          <w:b/>
          <w:color w:val="002060"/>
          <w:sz w:val="40"/>
          <w:szCs w:val="40"/>
        </w:rPr>
        <w:t>26</w:t>
      </w:r>
      <w:r w:rsidR="004622BC" w:rsidRPr="00E0050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годов</w:t>
      </w:r>
    </w:p>
    <w:p w:rsidR="004622BC" w:rsidRPr="00E0050A" w:rsidRDefault="00943D71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noProof/>
          <w:color w:val="1D1B11"/>
          <w:sz w:val="32"/>
          <w:szCs w:val="32"/>
          <w:lang w:eastAsia="ru-RU"/>
        </w:rPr>
        <w:drawing>
          <wp:inline distT="0" distB="0" distL="0" distR="0">
            <wp:extent cx="6496050" cy="4133850"/>
            <wp:effectExtent l="19050" t="0" r="1905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22BC" w:rsidRPr="00E0050A" w:rsidRDefault="004622BC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622BC" w:rsidRPr="00E0050A" w:rsidRDefault="004622BC" w:rsidP="00D06531">
      <w:pPr>
        <w:jc w:val="center"/>
        <w:rPr>
          <w:rFonts w:ascii="Times New Roman" w:hAnsi="Times New Roman" w:cs="Times New Roman"/>
          <w:b/>
          <w:color w:val="632423"/>
          <w:sz w:val="40"/>
          <w:szCs w:val="40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D5E83">
      <w:pPr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F32FD" w:rsidRPr="00E0050A" w:rsidRDefault="004F32FD" w:rsidP="00AD5E83">
      <w:pPr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4F32FD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>Налоговые и неналоговые доходы местного бюджета</w:t>
      </w:r>
    </w:p>
    <w:p w:rsidR="004622BC" w:rsidRPr="00E0050A" w:rsidRDefault="00CE28D2" w:rsidP="00A30E1A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0050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</w:t>
      </w:r>
      <w:r w:rsidR="004622BC" w:rsidRPr="00E0050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ыс. руб.</w:t>
      </w:r>
    </w:p>
    <w:tbl>
      <w:tblPr>
        <w:tblW w:w="10846" w:type="dxa"/>
        <w:tblInd w:w="-106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000"/>
      </w:tblPr>
      <w:tblGrid>
        <w:gridCol w:w="5601"/>
        <w:gridCol w:w="1701"/>
        <w:gridCol w:w="1843"/>
        <w:gridCol w:w="1701"/>
      </w:tblGrid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vAlign w:val="center"/>
          </w:tcPr>
          <w:p w:rsidR="004622BC" w:rsidRPr="00E0050A" w:rsidRDefault="004622BC" w:rsidP="00FC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AA8" w:rsidRPr="00E00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622BC" w:rsidRPr="00E0050A" w:rsidRDefault="00CE28D2" w:rsidP="00FC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AA8" w:rsidRPr="00E00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2BC"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22BC" w:rsidRPr="00E0050A" w:rsidRDefault="004622BC" w:rsidP="0097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5AA8" w:rsidRPr="00E005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85AA8" w:rsidP="00622F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542 704,9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230609" w:rsidP="00280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592 405,1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230609" w:rsidP="00280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640 454,7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AA8" w:rsidRPr="00E0050A">
              <w:rPr>
                <w:rFonts w:ascii="Times New Roman" w:hAnsi="Times New Roman" w:cs="Times New Roman"/>
                <w:sz w:val="24"/>
                <w:szCs w:val="24"/>
              </w:rPr>
              <w:t>99 180,2</w:t>
            </w:r>
          </w:p>
        </w:tc>
        <w:tc>
          <w:tcPr>
            <w:tcW w:w="1843" w:type="dxa"/>
            <w:vAlign w:val="center"/>
          </w:tcPr>
          <w:p w:rsidR="004622BC" w:rsidRPr="00E0050A" w:rsidRDefault="00230609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442 269,1</w:t>
            </w:r>
          </w:p>
        </w:tc>
        <w:tc>
          <w:tcPr>
            <w:tcW w:w="1701" w:type="dxa"/>
            <w:vAlign w:val="center"/>
          </w:tcPr>
          <w:p w:rsidR="004622BC" w:rsidRPr="00E0050A" w:rsidRDefault="00230609" w:rsidP="00230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483 057,7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701" w:type="dxa"/>
            <w:vAlign w:val="center"/>
          </w:tcPr>
          <w:p w:rsidR="004622BC" w:rsidRPr="00E0050A" w:rsidRDefault="004622BC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AA8" w:rsidRPr="00E0050A">
              <w:rPr>
                <w:rFonts w:ascii="Times New Roman" w:hAnsi="Times New Roman" w:cs="Times New Roman"/>
                <w:sz w:val="24"/>
                <w:szCs w:val="24"/>
              </w:rPr>
              <w:t>4 111,0</w:t>
            </w:r>
          </w:p>
        </w:tc>
        <w:tc>
          <w:tcPr>
            <w:tcW w:w="1843" w:type="dxa"/>
            <w:vAlign w:val="center"/>
          </w:tcPr>
          <w:p w:rsidR="004622BC" w:rsidRPr="00E0050A" w:rsidRDefault="004622BC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FC3" w:rsidRPr="00E00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609" w:rsidRPr="00E00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2FC3" w:rsidRPr="00E00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0609" w:rsidRPr="00E0050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  <w:vAlign w:val="center"/>
          </w:tcPr>
          <w:p w:rsidR="004622BC" w:rsidRPr="00E0050A" w:rsidRDefault="004622BC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FC3" w:rsidRPr="00E00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609" w:rsidRPr="00E0050A">
              <w:rPr>
                <w:rFonts w:ascii="Times New Roman" w:hAnsi="Times New Roman" w:cs="Times New Roman"/>
                <w:sz w:val="24"/>
                <w:szCs w:val="24"/>
              </w:rPr>
              <w:t> 785,3</w:t>
            </w:r>
          </w:p>
        </w:tc>
      </w:tr>
      <w:tr w:rsidR="004622BC" w:rsidRPr="00E0050A" w:rsidTr="00A30E1A">
        <w:trPr>
          <w:trHeight w:val="462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85AA8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86 831,3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230609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92 652,4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230609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99 152,9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bottom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                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85AA8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85AA8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85AA8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4622BC" w:rsidRPr="00E0050A" w:rsidTr="00A30E1A">
        <w:trPr>
          <w:trHeight w:val="630"/>
        </w:trPr>
        <w:tc>
          <w:tcPr>
            <w:tcW w:w="5601" w:type="dxa"/>
            <w:vAlign w:val="bottom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85AA8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5 650,0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85AA8" w:rsidP="00185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5 790,0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85AA8" w:rsidP="00185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5 930,0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физических лиц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2 874,2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12 900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12 982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7 673,0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7 673,0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7 673,0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243,9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48572B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406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10B41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592,0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65 180,5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22FC3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</w:t>
            </w:r>
            <w:r w:rsidR="00622FC3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010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10805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10805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10805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10805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622BC" w:rsidRPr="00E0050A" w:rsidTr="00622FC3">
        <w:trPr>
          <w:trHeight w:val="647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за земельные участки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4622BC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4 775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622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14 77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622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14 77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22BC" w:rsidRPr="00E0050A" w:rsidTr="00A30E1A">
        <w:trPr>
          <w:trHeight w:val="544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за земли, находящиеся в муниципальной собственности    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CE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22BC" w:rsidRPr="00E0050A" w:rsidTr="00A30E1A">
        <w:trPr>
          <w:trHeight w:val="630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622BC" w:rsidRPr="00E0050A" w:rsidTr="00A30E1A">
        <w:trPr>
          <w:trHeight w:val="389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E7133F" w:rsidP="00E71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48572B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48572B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22BC" w:rsidRPr="00E0050A" w:rsidTr="00A30E1A">
        <w:trPr>
          <w:trHeight w:val="703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  муниципальной собственности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622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260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10805" w:rsidRPr="00E0050A" w:rsidTr="00A30E1A">
        <w:trPr>
          <w:trHeight w:val="363"/>
        </w:trPr>
        <w:tc>
          <w:tcPr>
            <w:tcW w:w="5601" w:type="dxa"/>
            <w:vAlign w:val="center"/>
          </w:tcPr>
          <w:p w:rsidR="00010805" w:rsidRPr="00E0050A" w:rsidRDefault="00010805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</w:t>
            </w:r>
          </w:p>
        </w:tc>
        <w:tc>
          <w:tcPr>
            <w:tcW w:w="1701" w:type="dxa"/>
            <w:noWrap/>
            <w:vAlign w:val="bottom"/>
          </w:tcPr>
          <w:p w:rsidR="00010805" w:rsidRPr="00E0050A" w:rsidRDefault="00010805" w:rsidP="0001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450,0</w:t>
            </w:r>
          </w:p>
        </w:tc>
        <w:tc>
          <w:tcPr>
            <w:tcW w:w="1843" w:type="dxa"/>
            <w:noWrap/>
            <w:vAlign w:val="bottom"/>
          </w:tcPr>
          <w:p w:rsidR="00010805" w:rsidRPr="00E0050A" w:rsidRDefault="00010805" w:rsidP="0001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noWrap/>
            <w:vAlign w:val="bottom"/>
          </w:tcPr>
          <w:p w:rsidR="00010805" w:rsidRPr="00E0050A" w:rsidRDefault="00010805" w:rsidP="0001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622BC" w:rsidRPr="00E0050A" w:rsidTr="00A30E1A">
        <w:trPr>
          <w:trHeight w:val="363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2 150,9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2 277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2 411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E7133F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22BC" w:rsidRPr="00E0050A">
              <w:rPr>
                <w:rFonts w:ascii="Times New Roman" w:hAnsi="Times New Roman" w:cs="Times New Roman"/>
                <w:sz w:val="24"/>
                <w:szCs w:val="24"/>
              </w:rPr>
              <w:t>оходы от оказания платных услуг (работ)</w:t>
            </w: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E7133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9 595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10 638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E7133F" w:rsidP="00CE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CE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361,4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CE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361,4</w:t>
            </w:r>
          </w:p>
        </w:tc>
      </w:tr>
      <w:tr w:rsidR="004622BC" w:rsidRPr="00E0050A" w:rsidTr="00A30E1A">
        <w:trPr>
          <w:trHeight w:val="630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 муниципальной собственности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CE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3 402,0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622FC3" w:rsidP="00622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01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3 373,8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3 373,8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3 373,8</w:t>
            </w:r>
          </w:p>
        </w:tc>
      </w:tr>
      <w:tr w:rsidR="00074912" w:rsidRPr="00E0050A" w:rsidTr="00A30E1A">
        <w:trPr>
          <w:trHeight w:val="315"/>
        </w:trPr>
        <w:tc>
          <w:tcPr>
            <w:tcW w:w="5601" w:type="dxa"/>
            <w:vAlign w:val="center"/>
          </w:tcPr>
          <w:p w:rsidR="00074912" w:rsidRPr="00E0050A" w:rsidRDefault="00074912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</w:t>
            </w:r>
          </w:p>
        </w:tc>
        <w:tc>
          <w:tcPr>
            <w:tcW w:w="1701" w:type="dxa"/>
            <w:noWrap/>
            <w:vAlign w:val="bottom"/>
          </w:tcPr>
          <w:p w:rsidR="00074912" w:rsidRPr="00E0050A" w:rsidRDefault="0007491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  <w:vAlign w:val="bottom"/>
          </w:tcPr>
          <w:p w:rsidR="00074912" w:rsidRPr="00E0050A" w:rsidRDefault="0007491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  <w:vAlign w:val="bottom"/>
          </w:tcPr>
          <w:p w:rsidR="00074912" w:rsidRPr="00E0050A" w:rsidRDefault="00074912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42DB7" w:rsidRPr="00E0050A" w:rsidTr="00E42DB7">
        <w:trPr>
          <w:trHeight w:val="1363"/>
        </w:trPr>
        <w:tc>
          <w:tcPr>
            <w:tcW w:w="5601" w:type="dxa"/>
            <w:vAlign w:val="center"/>
          </w:tcPr>
          <w:p w:rsidR="00E42DB7" w:rsidRPr="00E0050A" w:rsidRDefault="00E42DB7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701" w:type="dxa"/>
            <w:noWrap/>
            <w:vAlign w:val="bottom"/>
          </w:tcPr>
          <w:p w:rsidR="00E42DB7" w:rsidRPr="00E0050A" w:rsidRDefault="00E42DB7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843" w:type="dxa"/>
            <w:noWrap/>
            <w:vAlign w:val="bottom"/>
          </w:tcPr>
          <w:p w:rsidR="00E42DB7" w:rsidRPr="00E0050A" w:rsidRDefault="00E42DB7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28 300,0</w:t>
            </w:r>
          </w:p>
        </w:tc>
        <w:tc>
          <w:tcPr>
            <w:tcW w:w="1701" w:type="dxa"/>
            <w:noWrap/>
            <w:vAlign w:val="bottom"/>
          </w:tcPr>
          <w:p w:rsidR="00E42DB7" w:rsidRPr="00E0050A" w:rsidRDefault="00E42DB7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28 200,0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111,0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111,0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48572B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111,0</w:t>
            </w:r>
          </w:p>
        </w:tc>
      </w:tr>
      <w:tr w:rsidR="00E7133F" w:rsidRPr="00E0050A" w:rsidTr="00A30E1A">
        <w:trPr>
          <w:trHeight w:val="315"/>
        </w:trPr>
        <w:tc>
          <w:tcPr>
            <w:tcW w:w="5601" w:type="dxa"/>
            <w:vAlign w:val="center"/>
          </w:tcPr>
          <w:p w:rsidR="00E7133F" w:rsidRPr="00E0050A" w:rsidRDefault="00E7133F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E7133F" w:rsidRPr="00E0050A" w:rsidRDefault="00E7133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843" w:type="dxa"/>
            <w:noWrap/>
            <w:vAlign w:val="bottom"/>
          </w:tcPr>
          <w:p w:rsidR="00E7133F" w:rsidRPr="00E0050A" w:rsidRDefault="00E7133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701" w:type="dxa"/>
            <w:noWrap/>
            <w:vAlign w:val="bottom"/>
          </w:tcPr>
          <w:p w:rsidR="00E7133F" w:rsidRPr="00E0050A" w:rsidRDefault="00E7133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налоговые и 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A67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607 885,4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010805" w:rsidP="00010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663 792,1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A67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712 808</w:t>
            </w:r>
            <w:r w:rsidR="00622FC3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</w:tbl>
    <w:p w:rsidR="004622BC" w:rsidRPr="00E0050A" w:rsidRDefault="004622BC" w:rsidP="00AE72A0">
      <w:pPr>
        <w:rPr>
          <w:rFonts w:ascii="Times New Roman" w:hAnsi="Times New Roman" w:cs="Times New Roman"/>
        </w:rPr>
      </w:pPr>
    </w:p>
    <w:p w:rsidR="004622BC" w:rsidRPr="00E0050A" w:rsidRDefault="004622BC" w:rsidP="00AE72A0">
      <w:pPr>
        <w:rPr>
          <w:rFonts w:ascii="Times New Roman" w:hAnsi="Times New Roman" w:cs="Times New Roman"/>
        </w:rPr>
      </w:pPr>
    </w:p>
    <w:p w:rsidR="004622BC" w:rsidRPr="00E0050A" w:rsidRDefault="004622BC" w:rsidP="00AE72A0">
      <w:pPr>
        <w:rPr>
          <w:rFonts w:ascii="Times New Roman" w:hAnsi="Times New Roman" w:cs="Times New Roman"/>
        </w:rPr>
      </w:pPr>
    </w:p>
    <w:p w:rsidR="004622BC" w:rsidRPr="00E0050A" w:rsidRDefault="004622BC" w:rsidP="00AE72A0">
      <w:pPr>
        <w:rPr>
          <w:rFonts w:ascii="Times New Roman" w:hAnsi="Times New Roman" w:cs="Times New Roman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74079C" w:rsidRDefault="004622BC" w:rsidP="009311A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74079C">
        <w:rPr>
          <w:rFonts w:ascii="Times New Roman" w:hAnsi="Times New Roman" w:cs="Times New Roman"/>
          <w:b/>
          <w:color w:val="002060"/>
          <w:sz w:val="48"/>
          <w:szCs w:val="48"/>
        </w:rPr>
        <w:lastRenderedPageBreak/>
        <w:t xml:space="preserve">Структура налоговых и неналоговых доходов </w:t>
      </w:r>
    </w:p>
    <w:p w:rsidR="004622BC" w:rsidRPr="0074079C" w:rsidRDefault="004622BC" w:rsidP="009311A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74079C">
        <w:rPr>
          <w:rFonts w:ascii="Times New Roman" w:hAnsi="Times New Roman" w:cs="Times New Roman"/>
          <w:b/>
          <w:color w:val="002060"/>
          <w:sz w:val="48"/>
          <w:szCs w:val="48"/>
        </w:rPr>
        <w:t>местного бюджета</w:t>
      </w:r>
    </w:p>
    <w:p w:rsidR="004622BC" w:rsidRPr="0074079C" w:rsidRDefault="004622BC" w:rsidP="009311A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622BC" w:rsidRDefault="00943D71" w:rsidP="00AE72A0">
      <w:r>
        <w:rPr>
          <w:noProof/>
          <w:lang w:eastAsia="ru-RU"/>
        </w:rPr>
        <w:drawing>
          <wp:inline distT="0" distB="0" distL="0" distR="0">
            <wp:extent cx="6686550" cy="3838575"/>
            <wp:effectExtent l="19050" t="0" r="1905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4F32FD"/>
    <w:p w:rsidR="00DC3B13" w:rsidRDefault="00DC3B13" w:rsidP="004F32FD"/>
    <w:p w:rsidR="00DC3B13" w:rsidRDefault="00DC3B13" w:rsidP="004F32FD"/>
    <w:p w:rsidR="00DC3B13" w:rsidRDefault="00DC3B13" w:rsidP="004F32FD"/>
    <w:p w:rsidR="00DC3B13" w:rsidRDefault="00DC3B13" w:rsidP="004F32FD"/>
    <w:p w:rsidR="00DC3B13" w:rsidRDefault="00DC3B13" w:rsidP="004F32FD"/>
    <w:p w:rsidR="00DC3B13" w:rsidRDefault="00DC3B13" w:rsidP="004F32FD"/>
    <w:p w:rsidR="004622BC" w:rsidRPr="0074079C" w:rsidRDefault="004622BC" w:rsidP="00BB6D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74079C">
        <w:rPr>
          <w:rFonts w:ascii="Times New Roman" w:hAnsi="Times New Roman" w:cs="Times New Roman"/>
          <w:b/>
          <w:bCs/>
          <w:color w:val="002060"/>
          <w:sz w:val="48"/>
          <w:szCs w:val="48"/>
        </w:rPr>
        <w:lastRenderedPageBreak/>
        <w:t xml:space="preserve">Сведения о крупных налогоплательщиках </w:t>
      </w:r>
    </w:p>
    <w:p w:rsidR="004622BC" w:rsidRPr="0074079C" w:rsidRDefault="004622BC" w:rsidP="00BB6D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74079C">
        <w:rPr>
          <w:rFonts w:ascii="Times New Roman" w:hAnsi="Times New Roman" w:cs="Times New Roman"/>
          <w:b/>
          <w:bCs/>
          <w:color w:val="002060"/>
          <w:sz w:val="48"/>
          <w:szCs w:val="48"/>
        </w:rPr>
        <w:t>Кыштымского городского округа</w:t>
      </w:r>
    </w:p>
    <w:p w:rsidR="004622BC" w:rsidRPr="0074079C" w:rsidRDefault="004622BC" w:rsidP="00945DCD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</w:p>
    <w:p w:rsidR="004622BC" w:rsidRPr="00E0050A" w:rsidRDefault="004622BC" w:rsidP="00945DCD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4622BC" w:rsidRPr="00E0050A" w:rsidRDefault="00BB6D29" w:rsidP="00945D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6D29">
        <w:rPr>
          <w:rFonts w:ascii="Times New Roman" w:hAnsi="Times New Roman" w:cs="Times New Roman"/>
          <w:b/>
          <w:bCs/>
          <w:sz w:val="40"/>
          <w:szCs w:val="40"/>
        </w:rPr>
        <w:object w:dxaOrig="4280" w:dyaOrig="3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8pt;height:317.55pt" o:ole="">
            <v:imagedata r:id="rId12" o:title=""/>
          </v:shape>
          <o:OLEObject Type="Embed" ProgID="PowerPoint.Template.12" ShapeID="_x0000_i1025" DrawAspect="Content" ObjectID="_1769323973" r:id="rId13"/>
        </w:object>
      </w: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28523A" w:rsidRPr="00371FB9" w:rsidRDefault="0028523A" w:rsidP="005B78EA">
      <w:pPr>
        <w:spacing w:after="0" w:line="240" w:lineRule="auto"/>
        <w:rPr>
          <w:rFonts w:cs="MS Sans Serif"/>
          <w:b/>
          <w:bCs/>
          <w:sz w:val="40"/>
          <w:szCs w:val="40"/>
        </w:rPr>
      </w:pPr>
    </w:p>
    <w:p w:rsidR="00BD6CA7" w:rsidRDefault="0028523A" w:rsidP="005B78E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                           </w:t>
      </w:r>
    </w:p>
    <w:p w:rsidR="004622BC" w:rsidRPr="00E0050A" w:rsidRDefault="004622BC" w:rsidP="00BD6C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Распределение расходов бюджета</w:t>
      </w:r>
    </w:p>
    <w:p w:rsidR="004622BC" w:rsidRPr="00E0050A" w:rsidRDefault="004622BC" w:rsidP="00BD6C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Кыштымского городского округа</w:t>
      </w:r>
    </w:p>
    <w:p w:rsidR="004622BC" w:rsidRPr="00E0050A" w:rsidRDefault="004622BC" w:rsidP="00BD6C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по государственным программам Челябинской области</w:t>
      </w:r>
    </w:p>
    <w:p w:rsidR="004622BC" w:rsidRPr="00E0050A" w:rsidRDefault="004622BC" w:rsidP="00BD6C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и муниципальным программам</w:t>
      </w:r>
    </w:p>
    <w:p w:rsidR="004622BC" w:rsidRDefault="004622BC" w:rsidP="00677F77">
      <w:pPr>
        <w:spacing w:line="240" w:lineRule="auto"/>
        <w:jc w:val="right"/>
        <w:rPr>
          <w:rFonts w:cs="MS Sans Serif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тыс. руб</w:t>
      </w:r>
      <w:r w:rsidRPr="00A30E1A">
        <w:rPr>
          <w:rFonts w:cs="MS Sans Serif"/>
          <w:b/>
          <w:bCs/>
          <w:color w:val="002060"/>
          <w:sz w:val="36"/>
          <w:szCs w:val="36"/>
        </w:rPr>
        <w:t xml:space="preserve">. </w:t>
      </w:r>
    </w:p>
    <w:tbl>
      <w:tblPr>
        <w:tblW w:w="10919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1"/>
        <w:gridCol w:w="4808"/>
        <w:gridCol w:w="1843"/>
        <w:gridCol w:w="1984"/>
        <w:gridCol w:w="1703"/>
      </w:tblGrid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2026 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«Комплексное развитие сельских территорий в Челябинской области»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4 274.8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"Развитие образования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399 532.0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399 532.0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399 955.2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"Поддержка и развитие дошкольного образования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221 084.4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221 084.4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221 084.4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"Развитие дорожного хозяйства и транспортной доступности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74 191.7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31 366.6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31 115.2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304.7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304.7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304.7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"Обеспечение доступным и комфортным жильем граждан Российской Федерации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14 981.5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95 066.2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107 869.0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"Чистая вода" на территории Челябинской области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50 505.1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"Развитие физической культуры и спорта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13 910.7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13 908.7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13 908.7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"Стимулирование развития жилищного строительства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3 302.6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"Поддержка инициативных проектов в муниципальных образованиях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31 836.5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30 246.3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28 656.0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282 927.7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295 698.4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327 415.3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"Охрана окружающей среды Челябинской области" на 2018 - 2025 годы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105.6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"Благоустройство населенных пунктов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103 397.2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39 892.9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"Обеспечение общественной безопасности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4 096.0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6 898.8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1 293.2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"Содействие развитию садоводства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98.0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"Повышение эффективности реализации молодежной политики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478.0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16 905.9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14 126.6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14 126.6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7 162.8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7 162.8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7 162.8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Муниципальная программа "Повышение эффективности муниципального управления и открытости деятельности органов местного самоуправления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6 289.3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1 707.5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6 289.3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"Развитие сельского хозяйства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1 497.9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1 497.9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1 497.9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80.0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Муниципальная программа "Экологическая программа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2 442.9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2 569.4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2 703.3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"Обеспечение доступным и комфортным жильем граждан Российской Федерации"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117.5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707.1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306.9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"Содействие занятости населения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741.9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741.9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741.9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Государственная программа Челябинской области "Развитие культуры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489 465.9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199.7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204.0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Муниципальная программа "Обеспечение эффективности использования муниципального имущества"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9 962.2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9 962.2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9 962.2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46 292.0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43 637.6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43 637.6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454 364.5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458 210.7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446 478.0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"Развитие культуры и туризма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143 585.2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149 533.7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150 576.7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"Повышение качества жизни граждан пожилого возраста и иных категорий граждан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16 742.7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16 742.7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16 742.7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"Доступная среда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1 171.0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1 171.0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1 171.0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Муниципальная программа "Развитие улично-дорожной сети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8 833.5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9 041.9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9 507.8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Муниципальная программа "Благоустройство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67 846.0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67 846.0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67 846.0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4 764.2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4 764.2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4 764.2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целевая программа "Кадровое обеспечение ГБУЗ "Городская больница им. А.П. Силаева </w:t>
            </w:r>
            <w:proofErr w:type="gram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</w:t>
            </w:r>
            <w:proofErr w:type="gram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 Кыштым"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480.0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480.0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480.0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Муниципальная программа "Поддержка и развитие малого и среднего предпринимательства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450.0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450.0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450.0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Кыштымском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220.3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220.3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220.3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247 247.8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232 774.3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232 260.4</w:t>
            </w:r>
          </w:p>
        </w:tc>
      </w:tr>
      <w:tr w:rsidR="0034785B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785B" w:rsidRPr="00E0050A" w:rsidRDefault="0034785B" w:rsidP="002F1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785B" w:rsidRPr="00E0050A" w:rsidRDefault="0034785B" w:rsidP="002F19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785B" w:rsidRPr="00E0050A" w:rsidRDefault="0034785B" w:rsidP="002F1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785B" w:rsidRPr="00E0050A" w:rsidRDefault="0034785B" w:rsidP="002F1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</w:rPr>
              <w:t>23 928,6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785B" w:rsidRPr="00E0050A" w:rsidRDefault="0034785B" w:rsidP="002F1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</w:rPr>
              <w:t>50 131,1</w:t>
            </w:r>
          </w:p>
        </w:tc>
      </w:tr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4785B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2 681 184.9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4785B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2 181 683,1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785B" w:rsidRPr="00E0050A" w:rsidRDefault="0034785B" w:rsidP="0034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2 249 575,5</w:t>
            </w:r>
          </w:p>
        </w:tc>
      </w:tr>
    </w:tbl>
    <w:p w:rsidR="00C770AC" w:rsidRDefault="00C770AC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4622BC" w:rsidRPr="00E0050A" w:rsidRDefault="004622BC" w:rsidP="00E005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Ведомственная структура расходов бюджета </w:t>
      </w:r>
    </w:p>
    <w:p w:rsidR="004622BC" w:rsidRPr="00E0050A" w:rsidRDefault="004622BC" w:rsidP="00E005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Кыштымского городского округа</w:t>
      </w:r>
    </w:p>
    <w:tbl>
      <w:tblPr>
        <w:tblpPr w:leftFromText="180" w:rightFromText="180" w:vertAnchor="text" w:horzAnchor="margin" w:tblpY="414"/>
        <w:tblW w:w="10751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000"/>
      </w:tblPr>
      <w:tblGrid>
        <w:gridCol w:w="5353"/>
        <w:gridCol w:w="1854"/>
        <w:gridCol w:w="1701"/>
        <w:gridCol w:w="1843"/>
      </w:tblGrid>
      <w:tr w:rsidR="004622BC" w:rsidRPr="00DB3920" w:rsidTr="00A30E1A">
        <w:trPr>
          <w:trHeight w:val="623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Кыштымского городского округа </w:t>
            </w:r>
          </w:p>
        </w:tc>
        <w:tc>
          <w:tcPr>
            <w:tcW w:w="1854" w:type="dxa"/>
            <w:vAlign w:val="center"/>
          </w:tcPr>
          <w:p w:rsidR="004622BC" w:rsidRPr="00DB3920" w:rsidRDefault="004622BC" w:rsidP="009D67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76253"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22BC" w:rsidRPr="00DB3920" w:rsidRDefault="004622BC" w:rsidP="00600E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76253"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622BC" w:rsidRPr="00DB3920" w:rsidRDefault="004622BC" w:rsidP="009D67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76253"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622BC" w:rsidRPr="00DB3920" w:rsidTr="00D666AB">
        <w:trPr>
          <w:trHeight w:val="255"/>
        </w:trPr>
        <w:tc>
          <w:tcPr>
            <w:tcW w:w="5353" w:type="dxa"/>
            <w:noWrap/>
            <w:vAlign w:val="center"/>
          </w:tcPr>
          <w:p w:rsidR="004622BC" w:rsidRPr="00DB3920" w:rsidRDefault="004622BC" w:rsidP="00F27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тыс. рублей:</w:t>
            </w:r>
          </w:p>
        </w:tc>
        <w:tc>
          <w:tcPr>
            <w:tcW w:w="1854" w:type="dxa"/>
            <w:noWrap/>
            <w:vAlign w:val="center"/>
          </w:tcPr>
          <w:p w:rsidR="004622BC" w:rsidRPr="00DB3920" w:rsidRDefault="004622BC" w:rsidP="00D666AB">
            <w:pPr>
              <w:rPr>
                <w:rFonts w:ascii="Times New Roman" w:hAnsi="Times New Roman" w:cs="Times New Roman"/>
                <w:b/>
              </w:rPr>
            </w:pPr>
          </w:p>
          <w:p w:rsidR="00D666AB" w:rsidRPr="00DB3920" w:rsidRDefault="00D666AB" w:rsidP="00D666AB">
            <w:pPr>
              <w:rPr>
                <w:rFonts w:ascii="Times New Roman" w:hAnsi="Times New Roman" w:cs="Times New Roman"/>
                <w:b/>
              </w:rPr>
            </w:pPr>
            <w:r w:rsidRPr="00DB3920">
              <w:rPr>
                <w:rFonts w:ascii="Times New Roman" w:hAnsi="Times New Roman" w:cs="Times New Roman"/>
                <w:b/>
              </w:rPr>
              <w:t>2 681 184,9</w:t>
            </w:r>
          </w:p>
          <w:p w:rsidR="00776253" w:rsidRPr="00DB3920" w:rsidRDefault="00776253" w:rsidP="00D66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  <w:b/>
              </w:rPr>
            </w:pPr>
            <w:r w:rsidRPr="00DB3920">
              <w:rPr>
                <w:rFonts w:ascii="Times New Roman" w:hAnsi="Times New Roman" w:cs="Times New Roman"/>
                <w:b/>
              </w:rPr>
              <w:t>2 181 683,1</w:t>
            </w:r>
          </w:p>
        </w:tc>
        <w:tc>
          <w:tcPr>
            <w:tcW w:w="1843" w:type="dxa"/>
            <w:noWrap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  <w:b/>
              </w:rPr>
            </w:pPr>
            <w:r w:rsidRPr="00DB3920">
              <w:rPr>
                <w:rFonts w:ascii="Times New Roman" w:hAnsi="Times New Roman" w:cs="Times New Roman"/>
                <w:b/>
              </w:rPr>
              <w:t>2 249 575,5</w:t>
            </w:r>
          </w:p>
        </w:tc>
      </w:tr>
      <w:tr w:rsidR="004622BC" w:rsidRPr="00DB3920" w:rsidTr="00D666AB">
        <w:trPr>
          <w:trHeight w:val="1046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местного самоуправления Администрация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162 096,2</w:t>
            </w:r>
          </w:p>
        </w:tc>
        <w:tc>
          <w:tcPr>
            <w:tcW w:w="1701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 xml:space="preserve">149 299,3 </w:t>
            </w:r>
          </w:p>
        </w:tc>
        <w:tc>
          <w:tcPr>
            <w:tcW w:w="1843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147 342,3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69 136,9</w:t>
            </w:r>
          </w:p>
        </w:tc>
        <w:tc>
          <w:tcPr>
            <w:tcW w:w="1701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63 699,7</w:t>
            </w:r>
          </w:p>
        </w:tc>
        <w:tc>
          <w:tcPr>
            <w:tcW w:w="1843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63 074,7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культуре, спорту и туризму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65 200,4</w:t>
            </w:r>
          </w:p>
        </w:tc>
        <w:tc>
          <w:tcPr>
            <w:tcW w:w="1701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62 544,0</w:t>
            </w:r>
          </w:p>
        </w:tc>
        <w:tc>
          <w:tcPr>
            <w:tcW w:w="1843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62 544,0</w:t>
            </w:r>
          </w:p>
        </w:tc>
      </w:tr>
      <w:tr w:rsidR="004622BC" w:rsidRPr="00DB3920" w:rsidTr="00D666AB">
        <w:trPr>
          <w:trHeight w:val="1008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1 113 437,4</w:t>
            </w:r>
          </w:p>
        </w:tc>
        <w:tc>
          <w:tcPr>
            <w:tcW w:w="1701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1 117 283,5</w:t>
            </w:r>
          </w:p>
        </w:tc>
        <w:tc>
          <w:tcPr>
            <w:tcW w:w="1843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1 105 974,0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280 001,9</w:t>
            </w:r>
          </w:p>
        </w:tc>
        <w:tc>
          <w:tcPr>
            <w:tcW w:w="1701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290 453,6</w:t>
            </w:r>
          </w:p>
        </w:tc>
        <w:tc>
          <w:tcPr>
            <w:tcW w:w="1843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322 170,5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787 233,6</w:t>
            </w:r>
          </w:p>
        </w:tc>
        <w:tc>
          <w:tcPr>
            <w:tcW w:w="1701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273 748,7</w:t>
            </w:r>
          </w:p>
        </w:tc>
        <w:tc>
          <w:tcPr>
            <w:tcW w:w="1843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296 565,9</w:t>
            </w:r>
          </w:p>
        </w:tc>
      </w:tr>
      <w:tr w:rsidR="006C688E" w:rsidRPr="00DB3920" w:rsidTr="00D666AB">
        <w:trPr>
          <w:trHeight w:val="450"/>
        </w:trPr>
        <w:tc>
          <w:tcPr>
            <w:tcW w:w="5353" w:type="dxa"/>
            <w:vAlign w:val="center"/>
          </w:tcPr>
          <w:p w:rsidR="006C688E" w:rsidRPr="00DB3920" w:rsidRDefault="006C688E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культуры Кыштымского городского округа»</w:t>
            </w:r>
          </w:p>
        </w:tc>
        <w:tc>
          <w:tcPr>
            <w:tcW w:w="1854" w:type="dxa"/>
            <w:vAlign w:val="center"/>
          </w:tcPr>
          <w:p w:rsidR="006C688E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148 484,6</w:t>
            </w:r>
          </w:p>
        </w:tc>
        <w:tc>
          <w:tcPr>
            <w:tcW w:w="1701" w:type="dxa"/>
            <w:vAlign w:val="center"/>
          </w:tcPr>
          <w:p w:rsidR="006C688E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150 463,5</w:t>
            </w:r>
          </w:p>
        </w:tc>
        <w:tc>
          <w:tcPr>
            <w:tcW w:w="1843" w:type="dxa"/>
            <w:vAlign w:val="center"/>
          </w:tcPr>
          <w:p w:rsidR="006C688E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151 510,8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55 593,9</w:t>
            </w:r>
          </w:p>
        </w:tc>
        <w:tc>
          <w:tcPr>
            <w:tcW w:w="1701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50 262,2</w:t>
            </w:r>
          </w:p>
        </w:tc>
        <w:tc>
          <w:tcPr>
            <w:tcW w:w="1843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50 262,2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113CA4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23 928,6</w:t>
            </w:r>
          </w:p>
        </w:tc>
        <w:tc>
          <w:tcPr>
            <w:tcW w:w="1843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50 131,1</w:t>
            </w:r>
          </w:p>
        </w:tc>
      </w:tr>
    </w:tbl>
    <w:p w:rsidR="004622BC" w:rsidRPr="001B26D3" w:rsidRDefault="004622BC" w:rsidP="009252C9">
      <w:pPr>
        <w:ind w:firstLine="851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lastRenderedPageBreak/>
        <w:t xml:space="preserve">Разработчиком презентации «Бюджет для граждан» является </w:t>
      </w:r>
      <w:r w:rsidRPr="001B26D3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Финансовое управление администрации Кыштымского городского округа городского округа</w:t>
      </w: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 xml:space="preserve">  </w:t>
      </w:r>
    </w:p>
    <w:p w:rsidR="004622BC" w:rsidRPr="001B26D3" w:rsidRDefault="004622BC" w:rsidP="009252C9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Основные задачи управления: </w:t>
      </w:r>
    </w:p>
    <w:p w:rsidR="004622BC" w:rsidRPr="001B26D3" w:rsidRDefault="004622BC" w:rsidP="009252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>1) выполнения функций по разработке проекта бюджета округа на очередной финансовый год и плановый период;</w:t>
      </w:r>
    </w:p>
    <w:p w:rsidR="004622BC" w:rsidRPr="001B26D3" w:rsidRDefault="004622BC" w:rsidP="009252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>2) обеспечение в установленном законодательством порядке казначейского исполнения бюджета округа;</w:t>
      </w:r>
    </w:p>
    <w:p w:rsidR="004622BC" w:rsidRPr="001B26D3" w:rsidRDefault="004622BC" w:rsidP="009252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>3) составление отчета об исполнении бюджета округа;</w:t>
      </w:r>
    </w:p>
    <w:p w:rsidR="004622BC" w:rsidRPr="001B26D3" w:rsidRDefault="000C33E8" w:rsidP="009252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63" style="position:absolute;left:0;text-align:left;margin-left:1.3pt;margin-top:95.9pt;width:535.5pt;height:33pt;z-index:251676160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3">
              <w:txbxContent>
                <w:p w:rsidR="00BB0627" w:rsidRPr="001B26D3" w:rsidRDefault="00BB0627" w:rsidP="00B24D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Контактная информация</w:t>
                  </w:r>
                </w:p>
              </w:txbxContent>
            </v:textbox>
          </v:roundrect>
        </w:pict>
      </w:r>
      <w:r w:rsidR="004622BC"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 xml:space="preserve">4) методическое руководство финансово-экономическими службами органов местного самоуправления, отраслевых (функциональных) органов, муниципальных бюджетных учреждений по вопросам составления проекта бюджета округа и его исполнения. </w:t>
      </w:r>
    </w:p>
    <w:p w:rsidR="004622BC" w:rsidRPr="006F78B0" w:rsidRDefault="004622BC" w:rsidP="009252C9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4622BC" w:rsidRPr="006F78B0" w:rsidRDefault="000C3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64" style="position:absolute;margin-left:1.3pt;margin-top:16.85pt;width:535.5pt;height:303pt;z-index:251677184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64">
              <w:txbxContent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Заместитель Главы Кыштымского городского округа, начальник Финансового  управления 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Гайдухина Ольга Викторовна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Адрес: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456870, Челябинская область, </w:t>
                  </w:r>
                  <w:proofErr w:type="gramStart"/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г</w:t>
                  </w:r>
                  <w:proofErr w:type="gramEnd"/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. Кыштым, пл. К. Маркса, 1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Телефон 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8 351(51) 4 03 32, 8 351(51) 4 03 21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Адрес электронной почты </w:t>
                  </w:r>
                </w:p>
                <w:p w:rsidR="00BB0627" w:rsidRPr="001B26D3" w:rsidRDefault="000C33E8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hyperlink r:id="rId14" w:history="1">
                    <w:r w:rsidR="00BB0627"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  <w:lang w:val="en-US"/>
                      </w:rPr>
                      <w:t>fin</w:t>
                    </w:r>
                    <w:r w:rsidR="00BB0627"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11@</w:t>
                    </w:r>
                    <w:proofErr w:type="spellStart"/>
                    <w:r w:rsidR="00BB0627"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  <w:lang w:val="en-US"/>
                      </w:rPr>
                      <w:t>chel</w:t>
                    </w:r>
                    <w:proofErr w:type="spellEnd"/>
                    <w:r w:rsidR="00BB0627"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.</w:t>
                    </w:r>
                    <w:proofErr w:type="spellStart"/>
                    <w:r w:rsidR="00BB0627"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  <w:lang w:val="en-US"/>
                      </w:rPr>
                      <w:t>surnet</w:t>
                    </w:r>
                    <w:proofErr w:type="spellEnd"/>
                    <w:r w:rsidR="00BB0627"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.</w:t>
                    </w:r>
                    <w:proofErr w:type="spellStart"/>
                    <w:r w:rsidR="00BB0627"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  <w:lang w:val="en-US"/>
                      </w:rPr>
                      <w:t>ru</w:t>
                    </w:r>
                    <w:proofErr w:type="spellEnd"/>
                  </w:hyperlink>
                  <w:r w:rsidR="00BB0627"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Режим работы 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С 8:00  до 17:00 </w:t>
                  </w:r>
                </w:p>
                <w:p w:rsidR="00BB0627" w:rsidRPr="001B26D3" w:rsidRDefault="00BB0627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Перерыв на обед с 12:00 до 13:00 Выходные дни - </w:t>
                  </w:r>
                  <w:proofErr w:type="spellStart"/>
                  <w:proofErr w:type="gramStart"/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Сб</w:t>
                  </w:r>
                  <w:proofErr w:type="spellEnd"/>
                  <w:proofErr w:type="gramEnd"/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, Вс. </w:t>
                  </w:r>
                </w:p>
                <w:p w:rsidR="00BB0627" w:rsidRPr="001B26D3" w:rsidRDefault="00BB0627" w:rsidP="004624EE">
                  <w:pPr>
                    <w:spacing w:line="240" w:lineRule="auto"/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4622BC" w:rsidRPr="006F78B0" w:rsidRDefault="004622BC">
      <w:pPr>
        <w:rPr>
          <w:rFonts w:ascii="Times New Roman" w:hAnsi="Times New Roman" w:cs="Times New Roman"/>
        </w:rPr>
      </w:pPr>
    </w:p>
    <w:p w:rsidR="004622BC" w:rsidRPr="006F78B0" w:rsidRDefault="004622BC">
      <w:pPr>
        <w:rPr>
          <w:rFonts w:ascii="Times New Roman" w:hAnsi="Times New Roman" w:cs="Times New Roman"/>
        </w:rPr>
      </w:pPr>
    </w:p>
    <w:p w:rsidR="004622BC" w:rsidRPr="006F78B0" w:rsidRDefault="004622BC">
      <w:pPr>
        <w:rPr>
          <w:rFonts w:ascii="Times New Roman" w:hAnsi="Times New Roman" w:cs="Times New Roman"/>
        </w:rPr>
      </w:pPr>
    </w:p>
    <w:sectPr w:rsidR="004622BC" w:rsidRPr="006F78B0" w:rsidSect="00360869">
      <w:pgSz w:w="11906" w:h="16838"/>
      <w:pgMar w:top="709" w:right="566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19C"/>
    <w:multiLevelType w:val="hybridMultilevel"/>
    <w:tmpl w:val="C45EF67E"/>
    <w:lvl w:ilvl="0" w:tplc="C012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A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1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2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A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A3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68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1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F4553"/>
    <w:multiLevelType w:val="hybridMultilevel"/>
    <w:tmpl w:val="9992FAB0"/>
    <w:lvl w:ilvl="0" w:tplc="D2D4B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E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3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A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4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21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60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AB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ED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353BD6"/>
    <w:multiLevelType w:val="hybridMultilevel"/>
    <w:tmpl w:val="6D76A1D0"/>
    <w:lvl w:ilvl="0" w:tplc="58D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E6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0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8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A4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6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AF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E0710"/>
    <w:rsid w:val="00010805"/>
    <w:rsid w:val="00011847"/>
    <w:rsid w:val="000159E1"/>
    <w:rsid w:val="00016E6F"/>
    <w:rsid w:val="00017B81"/>
    <w:rsid w:val="00025BF0"/>
    <w:rsid w:val="00031E82"/>
    <w:rsid w:val="000361A4"/>
    <w:rsid w:val="000423D0"/>
    <w:rsid w:val="000452FF"/>
    <w:rsid w:val="000467B0"/>
    <w:rsid w:val="00052E6E"/>
    <w:rsid w:val="00074912"/>
    <w:rsid w:val="00076EAA"/>
    <w:rsid w:val="00083E64"/>
    <w:rsid w:val="000951D4"/>
    <w:rsid w:val="000952F3"/>
    <w:rsid w:val="00096C7F"/>
    <w:rsid w:val="00097D84"/>
    <w:rsid w:val="000A5128"/>
    <w:rsid w:val="000A75CD"/>
    <w:rsid w:val="000B1DA0"/>
    <w:rsid w:val="000C3313"/>
    <w:rsid w:val="000C33E8"/>
    <w:rsid w:val="000C3BF7"/>
    <w:rsid w:val="000D27A6"/>
    <w:rsid w:val="000D3437"/>
    <w:rsid w:val="000E31EA"/>
    <w:rsid w:val="000E3A7E"/>
    <w:rsid w:val="000F1BFD"/>
    <w:rsid w:val="00107B8F"/>
    <w:rsid w:val="00110BE6"/>
    <w:rsid w:val="00113BE6"/>
    <w:rsid w:val="00113CA4"/>
    <w:rsid w:val="00114A73"/>
    <w:rsid w:val="001225BE"/>
    <w:rsid w:val="00123BCC"/>
    <w:rsid w:val="00136FC5"/>
    <w:rsid w:val="0014327F"/>
    <w:rsid w:val="00152FBB"/>
    <w:rsid w:val="0015346F"/>
    <w:rsid w:val="001573E3"/>
    <w:rsid w:val="00157E15"/>
    <w:rsid w:val="001618F3"/>
    <w:rsid w:val="001626F8"/>
    <w:rsid w:val="00175120"/>
    <w:rsid w:val="00182D63"/>
    <w:rsid w:val="00184027"/>
    <w:rsid w:val="00185AA8"/>
    <w:rsid w:val="001A1ECF"/>
    <w:rsid w:val="001B0E11"/>
    <w:rsid w:val="001B26D3"/>
    <w:rsid w:val="001C2400"/>
    <w:rsid w:val="001D12DA"/>
    <w:rsid w:val="001E39A8"/>
    <w:rsid w:val="001E5088"/>
    <w:rsid w:val="001F40E0"/>
    <w:rsid w:val="0020741D"/>
    <w:rsid w:val="00210FBE"/>
    <w:rsid w:val="002117CE"/>
    <w:rsid w:val="00213F0D"/>
    <w:rsid w:val="00222AC9"/>
    <w:rsid w:val="00230609"/>
    <w:rsid w:val="0023236F"/>
    <w:rsid w:val="00242627"/>
    <w:rsid w:val="00243719"/>
    <w:rsid w:val="00251E51"/>
    <w:rsid w:val="00264B80"/>
    <w:rsid w:val="00266CE4"/>
    <w:rsid w:val="002675FD"/>
    <w:rsid w:val="002677FA"/>
    <w:rsid w:val="00274AE5"/>
    <w:rsid w:val="00277C04"/>
    <w:rsid w:val="0028045E"/>
    <w:rsid w:val="00281901"/>
    <w:rsid w:val="00284F0E"/>
    <w:rsid w:val="0028523A"/>
    <w:rsid w:val="00293C6C"/>
    <w:rsid w:val="00295B8C"/>
    <w:rsid w:val="002970D5"/>
    <w:rsid w:val="002A7936"/>
    <w:rsid w:val="002A7FC3"/>
    <w:rsid w:val="002B144D"/>
    <w:rsid w:val="002B7451"/>
    <w:rsid w:val="002C525B"/>
    <w:rsid w:val="002C753A"/>
    <w:rsid w:val="002C7C1D"/>
    <w:rsid w:val="002D2751"/>
    <w:rsid w:val="002F42EF"/>
    <w:rsid w:val="00311187"/>
    <w:rsid w:val="00311C3E"/>
    <w:rsid w:val="00312B93"/>
    <w:rsid w:val="00312C2A"/>
    <w:rsid w:val="00315EEA"/>
    <w:rsid w:val="00316910"/>
    <w:rsid w:val="003239FF"/>
    <w:rsid w:val="00335448"/>
    <w:rsid w:val="0033778A"/>
    <w:rsid w:val="00340C01"/>
    <w:rsid w:val="0034452C"/>
    <w:rsid w:val="00347838"/>
    <w:rsid w:val="0034785B"/>
    <w:rsid w:val="003550C9"/>
    <w:rsid w:val="00360869"/>
    <w:rsid w:val="00363224"/>
    <w:rsid w:val="00363383"/>
    <w:rsid w:val="00371FB9"/>
    <w:rsid w:val="003770E1"/>
    <w:rsid w:val="003821E4"/>
    <w:rsid w:val="003928D1"/>
    <w:rsid w:val="00396779"/>
    <w:rsid w:val="003A0B47"/>
    <w:rsid w:val="003A5002"/>
    <w:rsid w:val="003A6BE5"/>
    <w:rsid w:val="003B3A9F"/>
    <w:rsid w:val="003B57F1"/>
    <w:rsid w:val="003B6041"/>
    <w:rsid w:val="003C15BB"/>
    <w:rsid w:val="003C5FA5"/>
    <w:rsid w:val="003D1425"/>
    <w:rsid w:val="003D3CD7"/>
    <w:rsid w:val="003E3379"/>
    <w:rsid w:val="003E53BE"/>
    <w:rsid w:val="00404A4A"/>
    <w:rsid w:val="00414FD0"/>
    <w:rsid w:val="0042205C"/>
    <w:rsid w:val="0042727F"/>
    <w:rsid w:val="00431867"/>
    <w:rsid w:val="00433423"/>
    <w:rsid w:val="004440DF"/>
    <w:rsid w:val="0044556A"/>
    <w:rsid w:val="004507A9"/>
    <w:rsid w:val="004531DD"/>
    <w:rsid w:val="004562F9"/>
    <w:rsid w:val="00457182"/>
    <w:rsid w:val="00460CC0"/>
    <w:rsid w:val="00461AB4"/>
    <w:rsid w:val="004622BC"/>
    <w:rsid w:val="004624EE"/>
    <w:rsid w:val="0047195D"/>
    <w:rsid w:val="004764C1"/>
    <w:rsid w:val="00482DF4"/>
    <w:rsid w:val="00483355"/>
    <w:rsid w:val="00484AD4"/>
    <w:rsid w:val="0048572B"/>
    <w:rsid w:val="0048576C"/>
    <w:rsid w:val="00495E7D"/>
    <w:rsid w:val="004B20D0"/>
    <w:rsid w:val="004B4731"/>
    <w:rsid w:val="004B61B2"/>
    <w:rsid w:val="004C4BCB"/>
    <w:rsid w:val="004D25B3"/>
    <w:rsid w:val="004D4560"/>
    <w:rsid w:val="004D6DDF"/>
    <w:rsid w:val="004E1CAA"/>
    <w:rsid w:val="004E2035"/>
    <w:rsid w:val="004E2CEA"/>
    <w:rsid w:val="004F0088"/>
    <w:rsid w:val="004F32FD"/>
    <w:rsid w:val="004F4C27"/>
    <w:rsid w:val="004F7315"/>
    <w:rsid w:val="005042EF"/>
    <w:rsid w:val="00521559"/>
    <w:rsid w:val="00526D5F"/>
    <w:rsid w:val="00535C89"/>
    <w:rsid w:val="00535F22"/>
    <w:rsid w:val="005375D8"/>
    <w:rsid w:val="00554A22"/>
    <w:rsid w:val="00564C4D"/>
    <w:rsid w:val="00574B97"/>
    <w:rsid w:val="005827D0"/>
    <w:rsid w:val="0058413B"/>
    <w:rsid w:val="00590AE5"/>
    <w:rsid w:val="0059312C"/>
    <w:rsid w:val="005B4B9A"/>
    <w:rsid w:val="005B78EA"/>
    <w:rsid w:val="005C7545"/>
    <w:rsid w:val="005D75D1"/>
    <w:rsid w:val="005E1A68"/>
    <w:rsid w:val="005E1E65"/>
    <w:rsid w:val="005E2297"/>
    <w:rsid w:val="005F35E1"/>
    <w:rsid w:val="005F44F3"/>
    <w:rsid w:val="00600EBA"/>
    <w:rsid w:val="00610B41"/>
    <w:rsid w:val="006112AC"/>
    <w:rsid w:val="00612515"/>
    <w:rsid w:val="00612DFE"/>
    <w:rsid w:val="006207CF"/>
    <w:rsid w:val="00622D49"/>
    <w:rsid w:val="00622FC3"/>
    <w:rsid w:val="0062628E"/>
    <w:rsid w:val="006347B4"/>
    <w:rsid w:val="00634CA1"/>
    <w:rsid w:val="0063797A"/>
    <w:rsid w:val="00640412"/>
    <w:rsid w:val="0064284F"/>
    <w:rsid w:val="00645B4E"/>
    <w:rsid w:val="00653138"/>
    <w:rsid w:val="00656835"/>
    <w:rsid w:val="006710DB"/>
    <w:rsid w:val="00677F77"/>
    <w:rsid w:val="00684C23"/>
    <w:rsid w:val="00685186"/>
    <w:rsid w:val="00687E72"/>
    <w:rsid w:val="006A0138"/>
    <w:rsid w:val="006A0ACE"/>
    <w:rsid w:val="006A291D"/>
    <w:rsid w:val="006B4A92"/>
    <w:rsid w:val="006B68F8"/>
    <w:rsid w:val="006C688E"/>
    <w:rsid w:val="006D0214"/>
    <w:rsid w:val="006D0E87"/>
    <w:rsid w:val="006D2580"/>
    <w:rsid w:val="006E56EA"/>
    <w:rsid w:val="006E6403"/>
    <w:rsid w:val="006F78B0"/>
    <w:rsid w:val="00711302"/>
    <w:rsid w:val="0071557B"/>
    <w:rsid w:val="007216CD"/>
    <w:rsid w:val="00721A3D"/>
    <w:rsid w:val="00724C47"/>
    <w:rsid w:val="00730BCD"/>
    <w:rsid w:val="0074079C"/>
    <w:rsid w:val="00740DC7"/>
    <w:rsid w:val="00740DC9"/>
    <w:rsid w:val="007434FC"/>
    <w:rsid w:val="007463EF"/>
    <w:rsid w:val="007507AE"/>
    <w:rsid w:val="00754F07"/>
    <w:rsid w:val="007604F2"/>
    <w:rsid w:val="007611DE"/>
    <w:rsid w:val="007663F0"/>
    <w:rsid w:val="00776253"/>
    <w:rsid w:val="00783422"/>
    <w:rsid w:val="00790119"/>
    <w:rsid w:val="00791068"/>
    <w:rsid w:val="00792A72"/>
    <w:rsid w:val="00792C3C"/>
    <w:rsid w:val="007940BD"/>
    <w:rsid w:val="007A68CB"/>
    <w:rsid w:val="007A6A80"/>
    <w:rsid w:val="007B03E6"/>
    <w:rsid w:val="007B3CA8"/>
    <w:rsid w:val="007B7450"/>
    <w:rsid w:val="007C681E"/>
    <w:rsid w:val="007C6B9A"/>
    <w:rsid w:val="007D0798"/>
    <w:rsid w:val="007D0D84"/>
    <w:rsid w:val="007D62BE"/>
    <w:rsid w:val="007E0710"/>
    <w:rsid w:val="007E11D3"/>
    <w:rsid w:val="007F2C69"/>
    <w:rsid w:val="0081137B"/>
    <w:rsid w:val="00813D3A"/>
    <w:rsid w:val="008166DB"/>
    <w:rsid w:val="008239C3"/>
    <w:rsid w:val="00835953"/>
    <w:rsid w:val="00840CE7"/>
    <w:rsid w:val="0084128E"/>
    <w:rsid w:val="0084249C"/>
    <w:rsid w:val="00845A16"/>
    <w:rsid w:val="00846EEE"/>
    <w:rsid w:val="008503BC"/>
    <w:rsid w:val="00855213"/>
    <w:rsid w:val="00861CB4"/>
    <w:rsid w:val="00866801"/>
    <w:rsid w:val="00867B82"/>
    <w:rsid w:val="008772ED"/>
    <w:rsid w:val="00885543"/>
    <w:rsid w:val="00891DBA"/>
    <w:rsid w:val="008A10FF"/>
    <w:rsid w:val="008A703F"/>
    <w:rsid w:val="008B4636"/>
    <w:rsid w:val="008C0680"/>
    <w:rsid w:val="008C3ABC"/>
    <w:rsid w:val="008C6182"/>
    <w:rsid w:val="008D2975"/>
    <w:rsid w:val="008D4E39"/>
    <w:rsid w:val="008E47C9"/>
    <w:rsid w:val="008E719A"/>
    <w:rsid w:val="008F0399"/>
    <w:rsid w:val="008F2877"/>
    <w:rsid w:val="008F5961"/>
    <w:rsid w:val="00903D3D"/>
    <w:rsid w:val="00912269"/>
    <w:rsid w:val="00921B88"/>
    <w:rsid w:val="00921CC2"/>
    <w:rsid w:val="009252C9"/>
    <w:rsid w:val="009270CF"/>
    <w:rsid w:val="00931093"/>
    <w:rsid w:val="009311A1"/>
    <w:rsid w:val="00934ADD"/>
    <w:rsid w:val="00943D71"/>
    <w:rsid w:val="00945DCD"/>
    <w:rsid w:val="009615FC"/>
    <w:rsid w:val="009634A4"/>
    <w:rsid w:val="00974416"/>
    <w:rsid w:val="009759AD"/>
    <w:rsid w:val="00986135"/>
    <w:rsid w:val="009862BC"/>
    <w:rsid w:val="009A1D65"/>
    <w:rsid w:val="009A6841"/>
    <w:rsid w:val="009B01DA"/>
    <w:rsid w:val="009B163A"/>
    <w:rsid w:val="009C2626"/>
    <w:rsid w:val="009C6457"/>
    <w:rsid w:val="009C6753"/>
    <w:rsid w:val="009C6DD2"/>
    <w:rsid w:val="009D103B"/>
    <w:rsid w:val="009D672D"/>
    <w:rsid w:val="009E0293"/>
    <w:rsid w:val="009F1DD4"/>
    <w:rsid w:val="009F7ED2"/>
    <w:rsid w:val="00A0335F"/>
    <w:rsid w:val="00A03AC1"/>
    <w:rsid w:val="00A03E0B"/>
    <w:rsid w:val="00A059D3"/>
    <w:rsid w:val="00A074CB"/>
    <w:rsid w:val="00A11281"/>
    <w:rsid w:val="00A12EDF"/>
    <w:rsid w:val="00A151F3"/>
    <w:rsid w:val="00A215A1"/>
    <w:rsid w:val="00A260BC"/>
    <w:rsid w:val="00A30E1A"/>
    <w:rsid w:val="00A40928"/>
    <w:rsid w:val="00A41860"/>
    <w:rsid w:val="00A50254"/>
    <w:rsid w:val="00A52205"/>
    <w:rsid w:val="00A53B6C"/>
    <w:rsid w:val="00A53D9F"/>
    <w:rsid w:val="00A56BD8"/>
    <w:rsid w:val="00A572CA"/>
    <w:rsid w:val="00A614E7"/>
    <w:rsid w:val="00A67B1E"/>
    <w:rsid w:val="00A822D7"/>
    <w:rsid w:val="00A82DD6"/>
    <w:rsid w:val="00A83846"/>
    <w:rsid w:val="00A8568C"/>
    <w:rsid w:val="00A87B44"/>
    <w:rsid w:val="00A94D24"/>
    <w:rsid w:val="00A97E15"/>
    <w:rsid w:val="00AA1EA2"/>
    <w:rsid w:val="00AA405A"/>
    <w:rsid w:val="00AA60E6"/>
    <w:rsid w:val="00AB253D"/>
    <w:rsid w:val="00AC0679"/>
    <w:rsid w:val="00AC2F87"/>
    <w:rsid w:val="00AD1548"/>
    <w:rsid w:val="00AD5E83"/>
    <w:rsid w:val="00AD6690"/>
    <w:rsid w:val="00AD78EC"/>
    <w:rsid w:val="00AE0C41"/>
    <w:rsid w:val="00AE34EC"/>
    <w:rsid w:val="00AE72A0"/>
    <w:rsid w:val="00AF05AC"/>
    <w:rsid w:val="00B03EE0"/>
    <w:rsid w:val="00B17B55"/>
    <w:rsid w:val="00B2055D"/>
    <w:rsid w:val="00B215BE"/>
    <w:rsid w:val="00B222E2"/>
    <w:rsid w:val="00B24D47"/>
    <w:rsid w:val="00B253C0"/>
    <w:rsid w:val="00B334A4"/>
    <w:rsid w:val="00B33FF2"/>
    <w:rsid w:val="00B4297E"/>
    <w:rsid w:val="00B440AE"/>
    <w:rsid w:val="00B45638"/>
    <w:rsid w:val="00B503C2"/>
    <w:rsid w:val="00B50DF1"/>
    <w:rsid w:val="00B67B0D"/>
    <w:rsid w:val="00B705AF"/>
    <w:rsid w:val="00B7321E"/>
    <w:rsid w:val="00B806B5"/>
    <w:rsid w:val="00B83E14"/>
    <w:rsid w:val="00B91647"/>
    <w:rsid w:val="00B9555B"/>
    <w:rsid w:val="00BA7643"/>
    <w:rsid w:val="00BB0627"/>
    <w:rsid w:val="00BB6D29"/>
    <w:rsid w:val="00BC2293"/>
    <w:rsid w:val="00BD1445"/>
    <w:rsid w:val="00BD1774"/>
    <w:rsid w:val="00BD17D4"/>
    <w:rsid w:val="00BD6CA7"/>
    <w:rsid w:val="00BE058B"/>
    <w:rsid w:val="00BE14F5"/>
    <w:rsid w:val="00BE67D8"/>
    <w:rsid w:val="00BE7C14"/>
    <w:rsid w:val="00BF0B58"/>
    <w:rsid w:val="00BF2E3C"/>
    <w:rsid w:val="00C01B9A"/>
    <w:rsid w:val="00C10841"/>
    <w:rsid w:val="00C14828"/>
    <w:rsid w:val="00C239EE"/>
    <w:rsid w:val="00C247A3"/>
    <w:rsid w:val="00C30EAA"/>
    <w:rsid w:val="00C314A1"/>
    <w:rsid w:val="00C40702"/>
    <w:rsid w:val="00C46D7E"/>
    <w:rsid w:val="00C4753B"/>
    <w:rsid w:val="00C5070A"/>
    <w:rsid w:val="00C548B2"/>
    <w:rsid w:val="00C62439"/>
    <w:rsid w:val="00C71FDA"/>
    <w:rsid w:val="00C770AC"/>
    <w:rsid w:val="00C95782"/>
    <w:rsid w:val="00C95998"/>
    <w:rsid w:val="00CA3101"/>
    <w:rsid w:val="00CA32ED"/>
    <w:rsid w:val="00CA6C2D"/>
    <w:rsid w:val="00CB14B5"/>
    <w:rsid w:val="00CB37DE"/>
    <w:rsid w:val="00CB3AC8"/>
    <w:rsid w:val="00CC15DC"/>
    <w:rsid w:val="00CC4D1B"/>
    <w:rsid w:val="00CC6076"/>
    <w:rsid w:val="00CC7A45"/>
    <w:rsid w:val="00CC7AF8"/>
    <w:rsid w:val="00CC7D3B"/>
    <w:rsid w:val="00CD2616"/>
    <w:rsid w:val="00CD5DAD"/>
    <w:rsid w:val="00CD6183"/>
    <w:rsid w:val="00CE1C9D"/>
    <w:rsid w:val="00CE28D2"/>
    <w:rsid w:val="00CE4972"/>
    <w:rsid w:val="00CE6F5D"/>
    <w:rsid w:val="00CF7961"/>
    <w:rsid w:val="00D03044"/>
    <w:rsid w:val="00D06340"/>
    <w:rsid w:val="00D06531"/>
    <w:rsid w:val="00D15F7C"/>
    <w:rsid w:val="00D17137"/>
    <w:rsid w:val="00D17C55"/>
    <w:rsid w:val="00D270A8"/>
    <w:rsid w:val="00D27B98"/>
    <w:rsid w:val="00D36CD6"/>
    <w:rsid w:val="00D439BE"/>
    <w:rsid w:val="00D464DD"/>
    <w:rsid w:val="00D50FEF"/>
    <w:rsid w:val="00D52111"/>
    <w:rsid w:val="00D64680"/>
    <w:rsid w:val="00D666AB"/>
    <w:rsid w:val="00D66C6D"/>
    <w:rsid w:val="00D67569"/>
    <w:rsid w:val="00D71CF1"/>
    <w:rsid w:val="00D7272D"/>
    <w:rsid w:val="00D82A85"/>
    <w:rsid w:val="00D83872"/>
    <w:rsid w:val="00D84E38"/>
    <w:rsid w:val="00DA1E2B"/>
    <w:rsid w:val="00DA5063"/>
    <w:rsid w:val="00DB09E1"/>
    <w:rsid w:val="00DB0EF0"/>
    <w:rsid w:val="00DB3920"/>
    <w:rsid w:val="00DB4177"/>
    <w:rsid w:val="00DC2623"/>
    <w:rsid w:val="00DC3B13"/>
    <w:rsid w:val="00DC70D4"/>
    <w:rsid w:val="00DC7B7B"/>
    <w:rsid w:val="00DD7E14"/>
    <w:rsid w:val="00DE2634"/>
    <w:rsid w:val="00DE6425"/>
    <w:rsid w:val="00DF31D4"/>
    <w:rsid w:val="00DF6CF2"/>
    <w:rsid w:val="00E0050A"/>
    <w:rsid w:val="00E032E2"/>
    <w:rsid w:val="00E038CB"/>
    <w:rsid w:val="00E067DB"/>
    <w:rsid w:val="00E10B53"/>
    <w:rsid w:val="00E11166"/>
    <w:rsid w:val="00E131D8"/>
    <w:rsid w:val="00E17578"/>
    <w:rsid w:val="00E2263C"/>
    <w:rsid w:val="00E23CCE"/>
    <w:rsid w:val="00E26FC6"/>
    <w:rsid w:val="00E30608"/>
    <w:rsid w:val="00E31B54"/>
    <w:rsid w:val="00E329DA"/>
    <w:rsid w:val="00E40069"/>
    <w:rsid w:val="00E42DB7"/>
    <w:rsid w:val="00E43BFF"/>
    <w:rsid w:val="00E4468D"/>
    <w:rsid w:val="00E61C1C"/>
    <w:rsid w:val="00E641A4"/>
    <w:rsid w:val="00E657EC"/>
    <w:rsid w:val="00E7133F"/>
    <w:rsid w:val="00E736E8"/>
    <w:rsid w:val="00E752AA"/>
    <w:rsid w:val="00E8524A"/>
    <w:rsid w:val="00E90373"/>
    <w:rsid w:val="00E9259E"/>
    <w:rsid w:val="00E93173"/>
    <w:rsid w:val="00E94FB7"/>
    <w:rsid w:val="00EA54F2"/>
    <w:rsid w:val="00EB08A6"/>
    <w:rsid w:val="00EB418D"/>
    <w:rsid w:val="00EB683F"/>
    <w:rsid w:val="00EC2B73"/>
    <w:rsid w:val="00EC40F9"/>
    <w:rsid w:val="00EC5A90"/>
    <w:rsid w:val="00EC5C54"/>
    <w:rsid w:val="00EC69EA"/>
    <w:rsid w:val="00ED27A1"/>
    <w:rsid w:val="00EF52A8"/>
    <w:rsid w:val="00F01DEA"/>
    <w:rsid w:val="00F03AF0"/>
    <w:rsid w:val="00F05DF6"/>
    <w:rsid w:val="00F063E4"/>
    <w:rsid w:val="00F06E81"/>
    <w:rsid w:val="00F11C3A"/>
    <w:rsid w:val="00F2758E"/>
    <w:rsid w:val="00F27CBA"/>
    <w:rsid w:val="00F30C67"/>
    <w:rsid w:val="00F31F74"/>
    <w:rsid w:val="00F31F7C"/>
    <w:rsid w:val="00F34A2B"/>
    <w:rsid w:val="00F45CFF"/>
    <w:rsid w:val="00F45F20"/>
    <w:rsid w:val="00F51874"/>
    <w:rsid w:val="00F539DE"/>
    <w:rsid w:val="00F56736"/>
    <w:rsid w:val="00F64D16"/>
    <w:rsid w:val="00F6584B"/>
    <w:rsid w:val="00F725D4"/>
    <w:rsid w:val="00F72F95"/>
    <w:rsid w:val="00F771DD"/>
    <w:rsid w:val="00F77400"/>
    <w:rsid w:val="00F84320"/>
    <w:rsid w:val="00F87D5C"/>
    <w:rsid w:val="00F92C3D"/>
    <w:rsid w:val="00F953B1"/>
    <w:rsid w:val="00FB1297"/>
    <w:rsid w:val="00FB5119"/>
    <w:rsid w:val="00FB6AB8"/>
    <w:rsid w:val="00FC7C86"/>
    <w:rsid w:val="00FD4A9C"/>
    <w:rsid w:val="00FE04A1"/>
    <w:rsid w:val="00FE638C"/>
    <w:rsid w:val="00FF4466"/>
    <w:rsid w:val="00FF634B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D8"/>
    <w:pPr>
      <w:spacing w:after="200" w:line="276" w:lineRule="auto"/>
    </w:pPr>
    <w:rPr>
      <w:rFonts w:cs="Calibri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7C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1D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E72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24D4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3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3FF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61C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00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_______Microsoft_Office_PowerPoint_20074.sldx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fin11@chel.surnet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_Microsoft_Office_Excel_2007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_Microsoft_Office_Excel_2007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6340411993955332E-2"/>
          <c:y val="6.1051142192131626E-2"/>
          <c:w val="0.72704939155332915"/>
          <c:h val="0.798004147119405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370D3"/>
            </a:solidFill>
          </c:spPr>
          <c:dLbls>
            <c:dLbl>
              <c:idx val="0"/>
              <c:layout>
                <c:manualLayout>
                  <c:x val="-6.0607651316312737E-3"/>
                  <c:y val="-2.4496937882764646E-2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2642,3</a:t>
                    </a:r>
                    <a:endParaRPr lang="en-US" sz="1400" baseline="0"/>
                  </a:p>
                </c:rich>
              </c:tx>
            </c:dLbl>
            <c:dLbl>
              <c:idx val="1"/>
              <c:layout>
                <c:manualLayout>
                  <c:x val="-6.0606060606060606E-3"/>
                  <c:y val="-2.4496937882764646E-2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2152,6</a:t>
                    </a:r>
                    <a:endParaRPr lang="en-US" sz="1400" baseline="0"/>
                  </a:p>
                </c:rich>
              </c:tx>
            </c:dLbl>
            <c:dLbl>
              <c:idx val="2"/>
              <c:layout>
                <c:manualLayout>
                  <c:x val="0"/>
                  <c:y val="-2.4496937882764646E-2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2239,3</a:t>
                    </a:r>
                    <a:endParaRPr lang="en-US" sz="1400" baseline="0"/>
                  </a:p>
                </c:rich>
              </c:tx>
            </c:dLbl>
            <c:spPr>
              <a:noFill/>
              <a:ln w="1905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1180</c:v>
                </c:pt>
                <c:pt idx="1">
                  <c:v>1180</c:v>
                </c:pt>
                <c:pt idx="2">
                  <c:v>1180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3B9B4B"/>
            </a:solidFill>
          </c:spPr>
          <c:dLbls>
            <c:dLbl>
              <c:idx val="0"/>
              <c:layout>
                <c:manualLayout>
                  <c:x val="2.2222222222222223E-2"/>
                  <c:y val="-2.0997375328083986E-2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2681,2</a:t>
                    </a:r>
                    <a:endParaRPr lang="en-US" sz="1400" baseline="0"/>
                  </a:p>
                </c:rich>
              </c:tx>
            </c:dLbl>
            <c:dLbl>
              <c:idx val="1"/>
              <c:layout>
                <c:manualLayout>
                  <c:x val="1.21220080957549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2181,7</a:t>
                    </a:r>
                  </a:p>
                  <a:p>
                    <a:endParaRPr lang="en-US" sz="1400" baseline="0"/>
                  </a:p>
                </c:rich>
              </c:tx>
            </c:dLbl>
            <c:dLbl>
              <c:idx val="2"/>
              <c:layout>
                <c:manualLayout>
                  <c:x val="3.434343434343434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2249,6</a:t>
                    </a:r>
                  </a:p>
                  <a:p>
                    <a:endParaRPr lang="en-US" sz="1400" baseline="0"/>
                  </a:p>
                </c:rich>
              </c:tx>
            </c:dLbl>
            <c:spPr>
              <a:noFill/>
              <a:ln w="1905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2681.2</c:v>
                </c:pt>
                <c:pt idx="1">
                  <c:v>2181.6999999999998</c:v>
                </c:pt>
                <c:pt idx="2">
                  <c:v>2249.6</c:v>
                </c:pt>
              </c:numCache>
            </c:numRef>
          </c:val>
        </c:ser>
        <c:dLbls>
          <c:showVal val="1"/>
        </c:dLbls>
        <c:shape val="cylinder"/>
        <c:axId val="83732736"/>
        <c:axId val="85282816"/>
        <c:axId val="0"/>
      </c:bar3DChart>
      <c:catAx>
        <c:axId val="837327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Arial Black" pitchFamily="34" charset="0"/>
              </a:defRPr>
            </a:pPr>
            <a:endParaRPr lang="ru-RU"/>
          </a:p>
        </c:txPr>
        <c:crossAx val="85282816"/>
        <c:crosses val="autoZero"/>
        <c:auto val="1"/>
        <c:lblAlgn val="ctr"/>
        <c:lblOffset val="100"/>
      </c:catAx>
      <c:valAx>
        <c:axId val="85282816"/>
        <c:scaling>
          <c:orientation val="minMax"/>
          <c:max val="1200"/>
          <c:min val="0"/>
        </c:scaling>
        <c:delete val="1"/>
        <c:axPos val="l"/>
        <c:numFmt formatCode="General" sourceLinked="1"/>
        <c:tickLblPos val="none"/>
        <c:crossAx val="83732736"/>
        <c:crosses val="autoZero"/>
        <c:crossBetween val="between"/>
      </c:valAx>
      <c:spPr>
        <a:noFill/>
        <a:ln w="19050">
          <a:noFill/>
        </a:ln>
      </c:spPr>
    </c:plotArea>
    <c:legend>
      <c:legendPos val="r"/>
      <c:layout/>
    </c:legend>
    <c:plotVisOnly val="1"/>
    <c:dispBlanksAs val="gap"/>
  </c:chart>
  <c:txPr>
    <a:bodyPr/>
    <a:lstStyle/>
    <a:p>
      <a:pPr>
        <a:defRPr sz="135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770248571869726"/>
          <c:y val="7.0823710546574423E-2"/>
          <c:w val="0.49717106685193768"/>
          <c:h val="0.87990762124711364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607885.4</c:v>
                </c:pt>
                <c:pt idx="1">
                  <c:v>663792.1</c:v>
                </c:pt>
                <c:pt idx="2">
                  <c:v>712808.6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dLbls>
            <c:dLbl>
              <c:idx val="0"/>
              <c:layout>
                <c:manualLayout>
                  <c:x val="2.7450980392156862E-2"/>
                  <c:y val="-1.5396458814472685E-2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u-RU" b="1" baseline="0"/>
                      <a:t> 034 431,2</a:t>
                    </a:r>
                    <a:r>
                      <a:rPr lang="ru-RU" baseline="0"/>
                      <a:t>  </a:t>
                    </a:r>
                    <a:endParaRPr lang="en-US"/>
                  </a:p>
                </c:rich>
              </c:tx>
            </c:dLbl>
            <c:dLbl>
              <c:idx val="1"/>
              <c:layout>
                <c:manualLayout>
                  <c:x val="3.7300975208010984E-2"/>
                  <c:y val="-3.0792118727094599E-3"/>
                </c:manualLayout>
              </c:layout>
              <c:showVal val="1"/>
            </c:dLbl>
            <c:dLbl>
              <c:idx val="2"/>
              <c:layout>
                <c:manualLayout>
                  <c:x val="3.5340091286243179E-2"/>
                  <c:y val="-3.0792118727094599E-3"/>
                </c:manualLayout>
              </c:layout>
              <c:showVal val="1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0">
                  <c:v>2034431.2</c:v>
                </c:pt>
                <c:pt idx="1">
                  <c:v>1488852.8</c:v>
                </c:pt>
                <c:pt idx="2">
                  <c:v>1526447.6</c:v>
                </c:pt>
              </c:numCache>
            </c:numRef>
          </c:val>
        </c:ser>
        <c:shape val="cylinder"/>
        <c:axId val="126990208"/>
        <c:axId val="126991744"/>
        <c:axId val="0"/>
      </c:bar3DChart>
      <c:catAx>
        <c:axId val="12699020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991744"/>
        <c:crosses val="autoZero"/>
        <c:auto val="1"/>
        <c:lblAlgn val="ctr"/>
        <c:lblOffset val="100"/>
      </c:catAx>
      <c:valAx>
        <c:axId val="126991744"/>
        <c:scaling>
          <c:orientation val="minMax"/>
        </c:scaling>
        <c:delete val="1"/>
        <c:axPos val="b"/>
        <c:numFmt formatCode="_-* #,##0.0\ _₽_-;\-* #,##0.0\ _₽_-;_-* &quot;-&quot;??\ _₽_-;_-@_-" sourceLinked="1"/>
        <c:tickLblPos val="none"/>
        <c:crossAx val="12699020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69219219219219263"/>
          <c:y val="0.38709677419355293"/>
          <c:w val="0.29429429429429432"/>
          <c:h val="0.26302729528536267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doughnutChart>
        <c:varyColors val="1"/>
        <c:ser>
          <c:idx val="0"/>
          <c:order val="0"/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0.67800000000000138</c:v>
                </c:pt>
                <c:pt idx="1">
                  <c:v>0.13900000000000001</c:v>
                </c:pt>
                <c:pt idx="2">
                  <c:v>3.9000000000000014E-2</c:v>
                </c:pt>
                <c:pt idx="3">
                  <c:v>2.5000000000000001E-2</c:v>
                </c:pt>
                <c:pt idx="4">
                  <c:v>1.7999999999999999E-2</c:v>
                </c:pt>
                <c:pt idx="5">
                  <c:v>0.10100000000000002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0.66600000000000126</c:v>
                </c:pt>
                <c:pt idx="1">
                  <c:v>0.14000000000000001</c:v>
                </c:pt>
                <c:pt idx="2">
                  <c:v>4.2000000000000023E-2</c:v>
                </c:pt>
                <c:pt idx="3">
                  <c:v>2.5999999999999999E-2</c:v>
                </c:pt>
                <c:pt idx="4">
                  <c:v>1.9000000000000031E-2</c:v>
                </c:pt>
                <c:pt idx="5">
                  <c:v>0.10700000000000012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0.65700000000000125</c:v>
                </c:pt>
                <c:pt idx="1">
                  <c:v>0.14300000000000004</c:v>
                </c:pt>
                <c:pt idx="2">
                  <c:v>4.3000000000000003E-2</c:v>
                </c:pt>
                <c:pt idx="3">
                  <c:v>2.9000000000000001E-2</c:v>
                </c:pt>
                <c:pt idx="4">
                  <c:v>2.1000000000000012E-2</c:v>
                </c:pt>
                <c:pt idx="5">
                  <c:v>0.10700000000000012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66326530612244894"/>
          <c:y val="0.40053763440860213"/>
          <c:w val="0.32507288629738179"/>
          <c:h val="0.37903225806451618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0.81182</cdr:x>
      <cdr:y>0.08719</cdr:y>
    </cdr:from>
    <cdr:to>
      <cdr:x>0.98355</cdr:x>
      <cdr:y>0.16087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5022274" y="307879"/>
          <a:ext cx="1062392" cy="260163"/>
        </a:xfrm>
        <a:prstGeom xmlns:a="http://schemas.openxmlformats.org/drawingml/2006/main" prst="wedgeRoundRectCallout">
          <a:avLst>
            <a:gd name="adj1" fmla="val -61742"/>
            <a:gd name="adj2" fmla="val 133573"/>
            <a:gd name="adj3" fmla="val 16667"/>
          </a:avLst>
        </a:prstGeom>
        <a:solidFill xmlns:a="http://schemas.openxmlformats.org/drawingml/2006/main">
          <a:srgbClr val="B2EEFC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defPPr>
            <a:defRPr lang="ru-RU"/>
          </a:defPPr>
          <a:lvl1pPr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1pPr>
          <a:lvl2pPr marL="4572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2pPr>
          <a:lvl3pPr marL="9144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3pPr>
          <a:lvl4pPr marL="13716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4pPr>
          <a:lvl5pPr marL="18288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5pPr>
          <a:lvl6pPr marL="22860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6pPr>
          <a:lvl7pPr marL="27432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7pPr>
          <a:lvl8pPr marL="32004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8pPr>
          <a:lvl9pPr marL="36576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sz="1600" b="1" i="1" dirty="0">
              <a:solidFill>
                <a:sysClr val="windowText" lastClr="000000"/>
              </a:solidFill>
            </a:rPr>
            <a:t>Млн.руб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0.73732</cdr:x>
      <cdr:y>0.12009</cdr:y>
    </cdr:from>
    <cdr:to>
      <cdr:x>0.91471</cdr:x>
      <cdr:y>0.21291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4775595" y="495300"/>
          <a:ext cx="1148955" cy="382820"/>
        </a:xfrm>
        <a:prstGeom xmlns:a="http://schemas.openxmlformats.org/drawingml/2006/main" prst="wedgeRoundRectCallout">
          <a:avLst>
            <a:gd name="adj1" fmla="val -61742"/>
            <a:gd name="adj2" fmla="val 133573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Тыс.руб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0.53726</cdr:x>
      <cdr:y>0.15203</cdr:y>
    </cdr:from>
    <cdr:to>
      <cdr:x>0.67844</cdr:x>
      <cdr:y>0.219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90039" y="628486"/>
          <a:ext cx="917112" cy="2768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 baseline="0"/>
            <a:t>2 239 256,2</a:t>
          </a:r>
          <a:endParaRPr lang="ru-RU" sz="1200" b="1"/>
        </a:p>
      </cdr:txBody>
    </cdr:sp>
  </cdr:relSizeAnchor>
  <cdr:relSizeAnchor xmlns:cdr="http://schemas.openxmlformats.org/drawingml/2006/chartDrawing">
    <cdr:from>
      <cdr:x>0.54123</cdr:x>
      <cdr:y>0.3997</cdr:y>
    </cdr:from>
    <cdr:to>
      <cdr:x>0.68241</cdr:x>
      <cdr:y>0.46668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515866" y="1652280"/>
          <a:ext cx="917112" cy="276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 baseline="0"/>
            <a:t>2 152 644,9</a:t>
          </a:r>
          <a:endParaRPr lang="ru-RU" sz="1200" b="1"/>
        </a:p>
      </cdr:txBody>
    </cdr:sp>
  </cdr:relSizeAnchor>
  <cdr:relSizeAnchor xmlns:cdr="http://schemas.openxmlformats.org/drawingml/2006/chartDrawing">
    <cdr:from>
      <cdr:x>0.53978</cdr:x>
      <cdr:y>0.66066</cdr:y>
    </cdr:from>
    <cdr:to>
      <cdr:x>0.68095</cdr:x>
      <cdr:y>0.72764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506406" y="2731049"/>
          <a:ext cx="917047" cy="276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/>
            <a:t>2</a:t>
          </a:r>
          <a:r>
            <a:rPr lang="ru-RU" sz="1200" b="1" baseline="0"/>
            <a:t> 642 316</a:t>
          </a:r>
          <a:r>
            <a:rPr lang="ru-RU" sz="1200" b="1"/>
            <a:t>,6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0.56304</cdr:x>
      <cdr:y>0.28925</cdr:y>
    </cdr:from>
    <cdr:to>
      <cdr:x>0.74043</cdr:x>
      <cdr:y>0.38207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3754050" y="1107549"/>
          <a:ext cx="1182748" cy="355412"/>
        </a:xfrm>
        <a:prstGeom xmlns:a="http://schemas.openxmlformats.org/drawingml/2006/main" prst="wedgeRoundRectCallout">
          <a:avLst>
            <a:gd name="adj1" fmla="val -100398"/>
            <a:gd name="adj2" fmla="val 138934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2026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0.52328</cdr:x>
      <cdr:y>0.16269</cdr:y>
    </cdr:from>
    <cdr:to>
      <cdr:x>0.70117</cdr:x>
      <cdr:y>0.25526</cdr:y>
    </cdr:to>
    <cdr:sp macro="" textlink="">
      <cdr:nvSpPr>
        <cdr:cNvPr id="6" name="Скругленная прямоугольная выноска 5"/>
        <cdr:cNvSpPr/>
      </cdr:nvSpPr>
      <cdr:spPr>
        <a:xfrm xmlns:a="http://schemas.openxmlformats.org/drawingml/2006/main">
          <a:off x="3495665" y="619117"/>
          <a:ext cx="1182748" cy="355413"/>
        </a:xfrm>
        <a:prstGeom xmlns:a="http://schemas.openxmlformats.org/drawingml/2006/main" prst="wedgeRoundRectCallout">
          <a:avLst>
            <a:gd name="adj1" fmla="val -74627"/>
            <a:gd name="adj2" fmla="val 136253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2025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0.46521</cdr:x>
      <cdr:y>0.02762</cdr:y>
    </cdr:from>
    <cdr:to>
      <cdr:x>0.64235</cdr:x>
      <cdr:y>0.12119</cdr:y>
    </cdr:to>
    <cdr:sp macro="" textlink="">
      <cdr:nvSpPr>
        <cdr:cNvPr id="7" name="Скругленная прямоугольная выноска 6"/>
        <cdr:cNvSpPr/>
      </cdr:nvSpPr>
      <cdr:spPr>
        <a:xfrm xmlns:a="http://schemas.openxmlformats.org/drawingml/2006/main">
          <a:off x="3105121" y="104789"/>
          <a:ext cx="1182748" cy="355413"/>
        </a:xfrm>
        <a:prstGeom xmlns:a="http://schemas.openxmlformats.org/drawingml/2006/main" prst="wedgeRoundRectCallout">
          <a:avLst>
            <a:gd name="adj1" fmla="val -61742"/>
            <a:gd name="adj2" fmla="val 114812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2024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E3CC-2216-44E8-9B1A-66ED56A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19</Pages>
  <Words>1886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</Company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Начальник КБ</cp:lastModifiedBy>
  <cp:revision>188</cp:revision>
  <cp:lastPrinted>2024-02-13T04:38:00Z</cp:lastPrinted>
  <dcterms:created xsi:type="dcterms:W3CDTF">2019-12-26T11:52:00Z</dcterms:created>
  <dcterms:modified xsi:type="dcterms:W3CDTF">2024-02-13T05:06:00Z</dcterms:modified>
</cp:coreProperties>
</file>