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11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  <w:gridCol w:w="1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Заместителю Главы Кыштымского городского округа по экономике и инвестициям 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А.А. Заикину</w:t>
            </w: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94" w:type="dxa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napToGrid w:val="0"/>
              <w:rPr>
                <w:i/>
                <w:sz w:val="28"/>
                <w:szCs w:val="28"/>
              </w:rPr>
            </w:pPr>
          </w:p>
          <w:p>
            <w:pPr>
              <w:snapToGrid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СЛУЖЕБНАЯ ЗАПИСКА</w:t>
            </w:r>
          </w:p>
          <w:p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от </w:t>
            </w:r>
            <w:r>
              <w:rPr>
                <w:rFonts w:hint="default"/>
                <w:i/>
                <w:sz w:val="28"/>
                <w:szCs w:val="28"/>
                <w:lang w:val="ru-RU"/>
              </w:rPr>
              <w:t>25</w:t>
            </w:r>
            <w:r>
              <w:rPr>
                <w:i/>
                <w:sz w:val="28"/>
                <w:szCs w:val="28"/>
              </w:rPr>
              <w:t>.03.202</w:t>
            </w:r>
            <w:r>
              <w:rPr>
                <w:rFonts w:hint="default"/>
                <w:i/>
                <w:sz w:val="28"/>
                <w:szCs w:val="28"/>
                <w:lang w:val="ru-RU"/>
              </w:rPr>
              <w:t>2</w:t>
            </w:r>
            <w:r>
              <w:rPr>
                <w:i/>
                <w:sz w:val="28"/>
                <w:szCs w:val="28"/>
              </w:rPr>
              <w:t>г</w:t>
            </w:r>
          </w:p>
          <w:p>
            <w:pPr>
              <w:rPr>
                <w:i/>
                <w:sz w:val="28"/>
                <w:szCs w:val="28"/>
              </w:rPr>
            </w:pPr>
          </w:p>
          <w:p>
            <w:pPr>
              <w:tabs>
                <w:tab w:val="left" w:pos="284"/>
                <w:tab w:val="left" w:pos="4395"/>
              </w:tabs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Отчет 202</w:t>
            </w:r>
            <w:r>
              <w:rPr>
                <w:rFonts w:hint="default"/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</w:rPr>
              <w:t>год о реализации муниципальной целевой программы «Развитие информационного общества в Кыштымском городском округе»</w:t>
            </w:r>
          </w:p>
          <w:p>
            <w:pPr>
              <w:tabs>
                <w:tab w:val="left" w:pos="284"/>
                <w:tab w:val="left" w:pos="4395"/>
              </w:tabs>
              <w:rPr>
                <w:sz w:val="28"/>
                <w:szCs w:val="28"/>
              </w:rPr>
            </w:pPr>
          </w:p>
          <w:p>
            <w:pPr>
              <w:rPr>
                <w:i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napToGrid w:val="0"/>
              <w:rPr>
                <w:sz w:val="28"/>
                <w:szCs w:val="28"/>
              </w:rPr>
            </w:pPr>
          </w:p>
        </w:tc>
      </w:tr>
    </w:tbl>
    <w:p>
      <w:pPr>
        <w:jc w:val="center"/>
        <w:rPr>
          <w:i/>
          <w:sz w:val="28"/>
          <w:szCs w:val="28"/>
        </w:rPr>
      </w:pPr>
    </w:p>
    <w:p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формирования информационного общества в Кыштымском городском округе была принята действует  муниципальная  целевая программа «Развитие информационного общества и формирование электронного правительства в Кыштымском городском округе», утвержденная постановлением Администрации Кыштымского городского округа от 02.04.2019г №648.</w:t>
      </w:r>
    </w:p>
    <w:p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состоит из следующих подпрограмм:</w:t>
      </w:r>
    </w:p>
    <w:p>
      <w:pPr>
        <w:tabs>
          <w:tab w:val="left" w:pos="6619"/>
        </w:tabs>
        <w:ind w:lef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подпрограмма: «Формирование в Кыштымском городском округе элементов электронного государства»;</w:t>
      </w:r>
    </w:p>
    <w:p>
      <w:pPr>
        <w:tabs>
          <w:tab w:val="left" w:pos="6619"/>
        </w:tabs>
        <w:ind w:left="10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подпрограмма: «</w:t>
      </w:r>
      <w:r>
        <w:rPr>
          <w:sz w:val="28"/>
          <w:szCs w:val="28"/>
        </w:rPr>
        <w:t>Развитие базовой инфраструктуры информационного общества и преодоление высокого уровня различия в использовании информационных технологий между различными слоями общества Кыштымского городского округа</w:t>
      </w:r>
      <w:r>
        <w:rPr>
          <w:color w:val="000000"/>
          <w:sz w:val="28"/>
          <w:szCs w:val="28"/>
        </w:rPr>
        <w:t>»;</w:t>
      </w:r>
    </w:p>
    <w:p>
      <w:pPr>
        <w:pStyle w:val="12"/>
        <w:widowControl/>
        <w:tabs>
          <w:tab w:val="left" w:pos="6619"/>
        </w:tabs>
        <w:ind w:left="10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подпрограмма: </w:t>
      </w:r>
      <w:r>
        <w:rPr>
          <w:rFonts w:ascii="Times New Roman" w:hAnsi="Times New Roman" w:cs="Times New Roman"/>
          <w:sz w:val="28"/>
          <w:szCs w:val="28"/>
        </w:rPr>
        <w:t>«Внедрение спутниковых навигационных технологий с использованием системы ГЛОНАСС и других результатов космической деятельности в интересах социально-экономического и инновационного развития Кыштымского городского округа»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подпрограмма: «Информационная безопасность и  техническая защита администрации Кыштымского городского округа» . на данную программу было выделено 12566,46 тыс руб, из них12316,27 тыс руб на мероприятие "Содержание му МФЦ".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Целевой показатель №1 </w:t>
      </w:r>
    </w:p>
    <w:p>
      <w:pPr>
        <w:ind w:firstLine="709"/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>За 202</w:t>
      </w:r>
      <w:r>
        <w:rPr>
          <w:rFonts w:hint="default"/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 году проведен аукцион позволяющий обновить часть компьютерной техники используемой в администрации Кыштымского городского округа</w:t>
      </w:r>
      <w:r>
        <w:rPr>
          <w:rFonts w:hint="default"/>
          <w:sz w:val="28"/>
          <w:szCs w:val="28"/>
          <w:lang w:val="ru-RU"/>
        </w:rPr>
        <w:t>.</w:t>
      </w:r>
    </w:p>
    <w:p>
      <w:pPr>
        <w:spacing w:before="144" w:line="162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Целевой показатель 2</w:t>
      </w:r>
    </w:p>
    <w:p>
      <w:pPr>
        <w:ind w:firstLine="709"/>
        <w:jc w:val="both"/>
        <w:rPr>
          <w:rFonts w:hint="default"/>
          <w:iCs/>
          <w:sz w:val="28"/>
          <w:szCs w:val="28"/>
          <w:lang w:val="ru-RU"/>
        </w:rPr>
      </w:pPr>
      <w:r>
        <w:rPr>
          <w:iCs/>
          <w:sz w:val="28"/>
          <w:szCs w:val="28"/>
        </w:rPr>
        <w:t xml:space="preserve">доля информации, переданной в </w:t>
      </w:r>
      <w:r>
        <w:rPr>
          <w:sz w:val="28"/>
          <w:szCs w:val="28"/>
        </w:rPr>
        <w:t>ГИС ЖКХ</w:t>
      </w:r>
      <w:r>
        <w:rPr>
          <w:iCs/>
          <w:sz w:val="28"/>
          <w:szCs w:val="28"/>
        </w:rPr>
        <w:t>, от общего количества информации, необходимой к размещению в ГИС ЖКХ органами местного самоуправления Кыштымского городского округа. Работа с системой Гис Жкх ведется в плановом режиме и финансирования не требуется.</w:t>
      </w:r>
      <w:r>
        <w:rPr>
          <w:rFonts w:hint="default"/>
          <w:iCs/>
          <w:sz w:val="28"/>
          <w:szCs w:val="28"/>
          <w:lang w:val="ru-RU"/>
        </w:rPr>
        <w:t xml:space="preserve"> В настоящее время из ФИАС не всталов систему только 7 адресов. Работа продолжена.</w:t>
      </w:r>
    </w:p>
    <w:p>
      <w:pPr>
        <w:spacing w:before="144" w:line="162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Целевой показатель 3:</w:t>
      </w:r>
    </w:p>
    <w:p>
      <w:pPr>
        <w:ind w:firstLine="709"/>
        <w:jc w:val="both"/>
        <w:rPr>
          <w:rFonts w:hint="default"/>
          <w:iCs/>
          <w:sz w:val="28"/>
          <w:szCs w:val="28"/>
          <w:lang w:val="ru-RU"/>
        </w:rPr>
      </w:pPr>
      <w:r>
        <w:rPr>
          <w:iCs/>
          <w:sz w:val="28"/>
          <w:szCs w:val="28"/>
        </w:rPr>
        <w:t>доля органов местного самоуправления Кыштымского городского округа, использующих автоматизированную систему электронного документооборота. Средств на приобретение выделено не было.</w:t>
      </w:r>
      <w:r>
        <w:rPr>
          <w:rFonts w:hint="default"/>
          <w:iCs/>
          <w:sz w:val="28"/>
          <w:szCs w:val="28"/>
          <w:lang w:val="ru-RU"/>
        </w:rPr>
        <w:t xml:space="preserve"> Министерством информационных технологий, связи и цифровой трансформации внедряется продукт «Тезис», в дальнейшем именно он станет основой СЭД.</w:t>
      </w:r>
    </w:p>
    <w:p>
      <w:pPr>
        <w:ind w:firstLine="709"/>
        <w:jc w:val="both"/>
        <w:rPr>
          <w:sz w:val="28"/>
          <w:szCs w:val="28"/>
        </w:rPr>
      </w:pPr>
    </w:p>
    <w:p>
      <w:pPr>
        <w:spacing w:before="144" w:line="162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Целевой показатель 4:</w:t>
      </w:r>
    </w:p>
    <w:p>
      <w:pPr>
        <w:tabs>
          <w:tab w:val="left" w:pos="6619"/>
        </w:tabs>
        <w:ind w:left="101" w:firstLine="567"/>
        <w:jc w:val="both"/>
        <w:rPr>
          <w:rFonts w:hint="default"/>
          <w:iCs/>
          <w:sz w:val="28"/>
          <w:szCs w:val="28"/>
          <w:lang w:val="ru-RU"/>
        </w:rPr>
      </w:pP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стоимостная доля закупаемого и (или) арендуемого органами местного самоуправления  Кыштымского городского округа отечественного программного обеспечения</w:t>
      </w:r>
      <w:r>
        <w:rPr>
          <w:rFonts w:hint="default"/>
          <w:color w:val="000000"/>
          <w:sz w:val="28"/>
          <w:szCs w:val="28"/>
          <w:lang w:val="ru-RU"/>
        </w:rPr>
        <w:t>. В настоящее время все прикладное По, антивирусники, базы данных являются отечественным По, 28% системного программного обеспечения, является отечественным.</w:t>
      </w:r>
    </w:p>
    <w:p>
      <w:pPr>
        <w:spacing w:before="225" w:line="25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Целевой показатель 5: </w:t>
      </w:r>
    </w:p>
    <w:p>
      <w:pPr>
        <w:ind w:firstLine="709"/>
        <w:jc w:val="both"/>
        <w:rPr>
          <w:rFonts w:hint="default"/>
          <w:iCs/>
          <w:sz w:val="28"/>
          <w:szCs w:val="28"/>
          <w:lang w:val="ru-RU"/>
        </w:rPr>
      </w:pPr>
      <w:r>
        <w:rPr>
          <w:iCs/>
          <w:sz w:val="28"/>
          <w:szCs w:val="28"/>
        </w:rPr>
        <w:t xml:space="preserve">доля маршрутов пассажирских перевозок, контролируемых с использованием интеллектуальной транспортной системы -все транспортные средства за счет средств владельцев данного транспорта оборудовали их компьютерами с возможностью работы с системой ГЛОНАСС.  В настоящее время показания с данных транспортных средств не выведено в единый центр из-за того, что собственники транспортных средств сим карты не оплачивают. </w:t>
      </w:r>
      <w:r>
        <w:rPr>
          <w:iCs/>
          <w:sz w:val="28"/>
          <w:szCs w:val="28"/>
          <w:lang w:val="ru-RU"/>
        </w:rPr>
        <w:t>Управлением</w:t>
      </w:r>
      <w:r>
        <w:rPr>
          <w:rFonts w:hint="default"/>
          <w:iCs/>
          <w:sz w:val="28"/>
          <w:szCs w:val="28"/>
          <w:lang w:val="ru-RU"/>
        </w:rPr>
        <w:t xml:space="preserve"> городского хозяйства в данный период работа не проводилась в связи с тем, что многие перевозчики в 2022 году не желают продолжать работу по этому виду деятельности.</w:t>
      </w:r>
    </w:p>
    <w:p>
      <w:pPr>
        <w:ind w:firstLine="709"/>
        <w:jc w:val="both"/>
        <w:rPr>
          <w:rFonts w:hint="default"/>
          <w:iCs/>
          <w:sz w:val="28"/>
          <w:szCs w:val="28"/>
          <w:lang w:val="ru-RU"/>
        </w:rPr>
      </w:pPr>
    </w:p>
    <w:p>
      <w:pPr>
        <w:pStyle w:val="12"/>
        <w:widowControl/>
        <w:ind w:firstLine="709"/>
        <w:jc w:val="both"/>
        <w:rPr>
          <w:rFonts w:ascii="Times New Roman" w:hAnsi="Times New Roman" w:cs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Целевой показатель 6: </w:t>
      </w:r>
    </w:p>
    <w:p>
      <w:pPr>
        <w:spacing w:before="225" w:line="254" w:lineRule="atLeast"/>
        <w:ind w:firstLine="709"/>
        <w:jc w:val="both"/>
        <w:rPr>
          <w:iCs/>
          <w:sz w:val="28"/>
          <w:szCs w:val="28"/>
        </w:rPr>
      </w:pPr>
      <w:r>
        <w:rPr>
          <w:color w:val="000000"/>
          <w:sz w:val="28"/>
          <w:szCs w:val="28"/>
        </w:rPr>
        <w:t xml:space="preserve">доля муниципального транспорта (школьных автобусов), отображаемого в региональной навигационно-информационной системе. Все школьные автобусы оборудованы </w:t>
      </w:r>
      <w:r>
        <w:rPr>
          <w:iCs/>
          <w:sz w:val="28"/>
          <w:szCs w:val="28"/>
        </w:rPr>
        <w:t>компьютерами с возможностью работы с системой ГЛОНАСС -100%.</w:t>
      </w:r>
    </w:p>
    <w:p>
      <w:pPr>
        <w:spacing w:before="225" w:line="254" w:lineRule="atLeast"/>
        <w:ind w:firstLine="709"/>
        <w:jc w:val="both"/>
        <w:rPr>
          <w:iCs/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Целевой показатель 7:</w:t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 официальных сайтов администрации Кыштымского городского округа поддерживаемых в актуальном состоянии, выполнено на 100%.</w:t>
      </w:r>
    </w:p>
    <w:p>
      <w:pPr>
        <w:ind w:firstLine="709"/>
        <w:jc w:val="both"/>
        <w:rPr>
          <w:color w:val="000000"/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Целевой показатель 10:</w:t>
      </w:r>
    </w:p>
    <w:p>
      <w:pPr>
        <w:spacing w:before="225" w:line="254" w:lineRule="atLeast"/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доля домохозяйств, имеющих широкополосный доступ к сети "Интернет", в общем числе домашних хозяйств до </w:t>
      </w:r>
      <w:r>
        <w:rPr>
          <w:rFonts w:hint="default"/>
          <w:sz w:val="28"/>
          <w:szCs w:val="28"/>
          <w:lang w:val="ru-RU"/>
        </w:rPr>
        <w:t>95%. за счет подключения к услугам сети Интернет, трех поселков Кыштымского городского округа</w:t>
      </w:r>
      <w:r>
        <w:rPr>
          <w:sz w:val="28"/>
          <w:szCs w:val="28"/>
        </w:rPr>
        <w:t>;</w:t>
      </w:r>
      <w:r>
        <w:rPr>
          <w:iCs/>
          <w:sz w:val="28"/>
          <w:szCs w:val="28"/>
        </w:rPr>
        <w:t xml:space="preserve"> </w:t>
      </w:r>
    </w:p>
    <w:p>
      <w:pPr>
        <w:spacing w:before="225" w:line="254" w:lineRule="atLeast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Показатель 9: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доля населенных пунктов с населением  от 250 человек, в которых обеспечена мобильная связь  и широкополосный  доступ к сети  "Интернет" до 100%</w:t>
      </w:r>
    </w:p>
    <w:p>
      <w:pPr>
        <w:ind w:firstLine="709"/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Оба показателя выполнены за счет открытия точек доступа к сети Интернет в 3 поселках. </w:t>
      </w:r>
      <w:r>
        <w:rPr>
          <w:sz w:val="28"/>
          <w:szCs w:val="28"/>
          <w:lang w:val="ru-RU"/>
        </w:rPr>
        <w:t>Ко</w:t>
      </w:r>
      <w:r>
        <w:rPr>
          <w:rFonts w:hint="default"/>
          <w:sz w:val="28"/>
          <w:szCs w:val="28"/>
          <w:lang w:val="ru-RU"/>
        </w:rPr>
        <w:t xml:space="preserve"> всем поселкам подведен ВОЛС</w:t>
      </w: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Целевой показатель 10:</w:t>
      </w:r>
    </w:p>
    <w:p>
      <w:pPr>
        <w:spacing w:after="0" w:line="240" w:lineRule="auto"/>
        <w:jc w:val="both"/>
        <w:rPr>
          <w:rFonts w:hint="default"/>
          <w:iCs/>
          <w:sz w:val="28"/>
          <w:szCs w:val="28"/>
        </w:rPr>
      </w:pPr>
      <w:r>
        <w:rPr>
          <w:iCs/>
          <w:sz w:val="28"/>
          <w:szCs w:val="28"/>
        </w:rPr>
        <w:t>количество общественных мест, оборудованных телекоммуникационной инфраструктурой, обеспечивающей Wi-Fi доступ к сети «Интернет». В 202</w:t>
      </w:r>
      <w:r>
        <w:rPr>
          <w:rFonts w:hint="default"/>
          <w:iCs/>
          <w:sz w:val="28"/>
          <w:szCs w:val="28"/>
          <w:lang w:val="ru-RU"/>
        </w:rPr>
        <w:t>1</w:t>
      </w:r>
      <w:r>
        <w:rPr>
          <w:iCs/>
          <w:sz w:val="28"/>
          <w:szCs w:val="28"/>
        </w:rPr>
        <w:t xml:space="preserve"> оборудованы </w:t>
      </w:r>
      <w:r>
        <w:rPr>
          <w:iCs/>
          <w:sz w:val="28"/>
          <w:szCs w:val="28"/>
          <w:lang w:val="ru-RU"/>
        </w:rPr>
        <w:t>пять</w:t>
      </w:r>
      <w:r>
        <w:rPr>
          <w:rFonts w:hint="default"/>
          <w:iCs/>
          <w:sz w:val="28"/>
          <w:szCs w:val="28"/>
          <w:lang w:val="ru-RU"/>
        </w:rPr>
        <w:t xml:space="preserve"> </w:t>
      </w:r>
      <w:r>
        <w:rPr>
          <w:iCs/>
          <w:sz w:val="28"/>
          <w:szCs w:val="28"/>
        </w:rPr>
        <w:t>точ</w:t>
      </w:r>
      <w:r>
        <w:rPr>
          <w:iCs/>
          <w:sz w:val="28"/>
          <w:szCs w:val="28"/>
          <w:lang w:val="ru-RU"/>
        </w:rPr>
        <w:t>е</w:t>
      </w:r>
      <w:r>
        <w:rPr>
          <w:iCs/>
          <w:sz w:val="28"/>
          <w:szCs w:val="28"/>
        </w:rPr>
        <w:t xml:space="preserve">к доступа к сети Интернет: </w:t>
      </w:r>
      <w:r>
        <w:rPr>
          <w:iCs/>
          <w:sz w:val="28"/>
          <w:szCs w:val="28"/>
          <w:lang w:val="ru-RU"/>
        </w:rPr>
        <w:t>Ц</w:t>
      </w:r>
      <w:r>
        <w:rPr>
          <w:rFonts w:hint="default"/>
          <w:iCs/>
          <w:sz w:val="28"/>
          <w:szCs w:val="28"/>
        </w:rPr>
        <w:t>ентр города (остановка);</w:t>
      </w:r>
    </w:p>
    <w:p>
      <w:pPr>
        <w:spacing w:after="0" w:line="240" w:lineRule="auto"/>
        <w:jc w:val="both"/>
        <w:rPr>
          <w:rFonts w:hint="default"/>
          <w:iCs/>
          <w:sz w:val="28"/>
          <w:szCs w:val="28"/>
        </w:rPr>
      </w:pPr>
      <w:r>
        <w:rPr>
          <w:rFonts w:hint="default"/>
          <w:iCs/>
          <w:sz w:val="28"/>
          <w:szCs w:val="28"/>
        </w:rPr>
        <w:t>пос. Северный;</w:t>
      </w:r>
    </w:p>
    <w:p>
      <w:pPr>
        <w:spacing w:after="0" w:line="240" w:lineRule="auto"/>
        <w:jc w:val="both"/>
        <w:rPr>
          <w:rFonts w:hint="default"/>
          <w:iCs/>
          <w:sz w:val="28"/>
          <w:szCs w:val="28"/>
        </w:rPr>
      </w:pPr>
      <w:r>
        <w:rPr>
          <w:rFonts w:hint="default"/>
          <w:iCs/>
          <w:sz w:val="28"/>
          <w:szCs w:val="28"/>
        </w:rPr>
        <w:t xml:space="preserve"> пос. Увильды;</w:t>
      </w:r>
    </w:p>
    <w:p>
      <w:pPr>
        <w:spacing w:after="0" w:line="240" w:lineRule="auto"/>
        <w:jc w:val="both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 xml:space="preserve"> пос. Тайгинка;</w:t>
      </w:r>
    </w:p>
    <w:p>
      <w:pPr>
        <w:spacing w:after="0" w:line="240" w:lineRule="auto"/>
        <w:jc w:val="both"/>
        <w:rPr>
          <w:rFonts w:hint="default" w:ascii="Times New Roman" w:hAnsi="Times New Roman"/>
          <w:sz w:val="24"/>
          <w:szCs w:val="24"/>
        </w:rPr>
      </w:pP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Целевой показатель 11:</w:t>
      </w:r>
    </w:p>
    <w:p>
      <w:pPr>
        <w:spacing w:after="0" w:line="24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количество камер общественной безопасности</w:t>
      </w:r>
    </w:p>
    <w:p>
      <w:pPr>
        <w:spacing w:after="0" w:line="240" w:lineRule="auto"/>
        <w:jc w:val="both"/>
        <w:rPr>
          <w:rFonts w:hint="default"/>
          <w:iCs/>
          <w:sz w:val="28"/>
          <w:szCs w:val="28"/>
        </w:rPr>
      </w:pPr>
      <w:r>
        <w:rPr>
          <w:rFonts w:hint="default"/>
          <w:iCs/>
          <w:sz w:val="28"/>
          <w:szCs w:val="28"/>
        </w:rPr>
        <w:t xml:space="preserve">440 – в образовательных учреждениях </w:t>
      </w:r>
    </w:p>
    <w:p>
      <w:pPr>
        <w:spacing w:after="0" w:line="240" w:lineRule="auto"/>
        <w:jc w:val="both"/>
        <w:rPr>
          <w:rFonts w:hint="default"/>
          <w:iCs/>
          <w:sz w:val="28"/>
          <w:szCs w:val="28"/>
        </w:rPr>
      </w:pPr>
      <w:r>
        <w:rPr>
          <w:rFonts w:hint="default"/>
          <w:iCs/>
          <w:sz w:val="28"/>
          <w:szCs w:val="28"/>
        </w:rPr>
        <w:t>46-туристический маршрут «Прошлое в настоящем и будущем»</w:t>
      </w:r>
    </w:p>
    <w:p>
      <w:pPr>
        <w:spacing w:after="0" w:line="240" w:lineRule="auto"/>
        <w:jc w:val="both"/>
        <w:rPr>
          <w:rFonts w:hint="default"/>
          <w:iCs/>
          <w:sz w:val="28"/>
          <w:szCs w:val="28"/>
        </w:rPr>
      </w:pPr>
      <w:r>
        <w:rPr>
          <w:rFonts w:hint="default"/>
          <w:iCs/>
          <w:sz w:val="28"/>
          <w:szCs w:val="28"/>
        </w:rPr>
        <w:t>6- «Безопасный город»</w:t>
      </w:r>
    </w:p>
    <w:p>
      <w:pPr>
        <w:spacing w:after="0" w:line="240" w:lineRule="auto"/>
        <w:jc w:val="both"/>
        <w:rPr>
          <w:rFonts w:hint="default"/>
          <w:iCs/>
          <w:sz w:val="28"/>
          <w:szCs w:val="28"/>
        </w:rPr>
      </w:pPr>
      <w:r>
        <w:rPr>
          <w:rFonts w:hint="default"/>
          <w:iCs/>
          <w:sz w:val="28"/>
          <w:szCs w:val="28"/>
        </w:rPr>
        <w:t>6- Парк им А.С. Пушкина</w:t>
      </w:r>
    </w:p>
    <w:p>
      <w:pPr>
        <w:spacing w:before="225" w:line="254" w:lineRule="atLeast"/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Целевой показатель 12:</w:t>
      </w:r>
    </w:p>
    <w:p>
      <w:pPr>
        <w:spacing w:before="225" w:line="254" w:lineRule="atLeast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количество жителей Кыштымского городского округа пожилого возраста, прошедших обучение основам компьютерной грамотности. Все 100% жителей городского округа обратившихся с просьбой проведения для них обучения основам компьютерной грамотности прошли обучение на базе Управления образованием Кыштымского городского округа, Центра занятости, общества "Знание".</w:t>
      </w: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Целевой показатель 13:</w:t>
      </w:r>
    </w:p>
    <w:p>
      <w:pPr>
        <w:spacing w:before="225" w:line="25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Количества транспортных средств оборудованных системами использующими технологии ГЛОНАСС. зарегистрированных в ОГБУ</w:t>
      </w:r>
    </w:p>
    <w:p>
      <w:pPr>
        <w:spacing w:before="225" w:line="25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>
        <w:rPr>
          <w:rFonts w:hint="default"/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 году из 16 транспортных средств оборудованных системами использующими технологии ГЛОНАСС. зарегистрированных в ОГБУ только 6. Остальные 10 имеют доступ к мониторингу движения минуя ОГБУ.</w:t>
      </w:r>
    </w:p>
    <w:p>
      <w:pPr>
        <w:spacing w:before="225" w:line="254" w:lineRule="atLeast"/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color w:val="000000"/>
          <w:sz w:val="28"/>
          <w:szCs w:val="28"/>
        </w:rPr>
      </w:pPr>
    </w:p>
    <w:p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 и Кыштымского городского округа  </w:t>
      </w:r>
    </w:p>
    <w:p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по информационным технологиям  </w:t>
      </w:r>
      <w:bookmarkStart w:id="0" w:name="_GoBack"/>
      <w:bookmarkEnd w:id="0"/>
      <w:r>
        <w:rPr>
          <w:color w:val="000000"/>
          <w:sz w:val="28"/>
          <w:szCs w:val="28"/>
        </w:rPr>
        <w:t xml:space="preserve">                                                            Е.А.Зарубина</w:t>
      </w:r>
    </w:p>
    <w:p/>
    <w:sectPr>
      <w:pgSz w:w="11906" w:h="16838"/>
      <w:pgMar w:top="567" w:right="1019" w:bottom="567" w:left="567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92E"/>
    <w:rsid w:val="00073C16"/>
    <w:rsid w:val="000926C1"/>
    <w:rsid w:val="00104FAF"/>
    <w:rsid w:val="00130E0D"/>
    <w:rsid w:val="001527EB"/>
    <w:rsid w:val="00191E45"/>
    <w:rsid w:val="001A10A5"/>
    <w:rsid w:val="001D31F0"/>
    <w:rsid w:val="001E06BC"/>
    <w:rsid w:val="00200628"/>
    <w:rsid w:val="00207641"/>
    <w:rsid w:val="002542E4"/>
    <w:rsid w:val="00256119"/>
    <w:rsid w:val="00267DC5"/>
    <w:rsid w:val="002874D3"/>
    <w:rsid w:val="002C21BC"/>
    <w:rsid w:val="002E2FE9"/>
    <w:rsid w:val="00321E33"/>
    <w:rsid w:val="003405A8"/>
    <w:rsid w:val="00350C9F"/>
    <w:rsid w:val="00361DAB"/>
    <w:rsid w:val="00374FA5"/>
    <w:rsid w:val="003E1EC1"/>
    <w:rsid w:val="004241F3"/>
    <w:rsid w:val="0045484C"/>
    <w:rsid w:val="004D3D64"/>
    <w:rsid w:val="004E667A"/>
    <w:rsid w:val="0055080A"/>
    <w:rsid w:val="005762E0"/>
    <w:rsid w:val="005A0F2C"/>
    <w:rsid w:val="00673DA9"/>
    <w:rsid w:val="006F267F"/>
    <w:rsid w:val="006F6A5B"/>
    <w:rsid w:val="006F7B25"/>
    <w:rsid w:val="00701CAA"/>
    <w:rsid w:val="00702147"/>
    <w:rsid w:val="00724234"/>
    <w:rsid w:val="007812FD"/>
    <w:rsid w:val="007948EB"/>
    <w:rsid w:val="008119B1"/>
    <w:rsid w:val="00813D58"/>
    <w:rsid w:val="0084235F"/>
    <w:rsid w:val="00875C04"/>
    <w:rsid w:val="008A5715"/>
    <w:rsid w:val="008B40C1"/>
    <w:rsid w:val="008F767D"/>
    <w:rsid w:val="009622DC"/>
    <w:rsid w:val="00967FF6"/>
    <w:rsid w:val="009C2F33"/>
    <w:rsid w:val="00A16887"/>
    <w:rsid w:val="00A91F5A"/>
    <w:rsid w:val="00A926DB"/>
    <w:rsid w:val="00B14AC5"/>
    <w:rsid w:val="00B41137"/>
    <w:rsid w:val="00B674A6"/>
    <w:rsid w:val="00BF528D"/>
    <w:rsid w:val="00C0259B"/>
    <w:rsid w:val="00C06E5B"/>
    <w:rsid w:val="00C07C5F"/>
    <w:rsid w:val="00C26327"/>
    <w:rsid w:val="00C357E6"/>
    <w:rsid w:val="00C66B7E"/>
    <w:rsid w:val="00C70CF2"/>
    <w:rsid w:val="00C830DF"/>
    <w:rsid w:val="00CC7D16"/>
    <w:rsid w:val="00CD1CF9"/>
    <w:rsid w:val="00CE25B9"/>
    <w:rsid w:val="00D02559"/>
    <w:rsid w:val="00D159D1"/>
    <w:rsid w:val="00D23375"/>
    <w:rsid w:val="00D47E3C"/>
    <w:rsid w:val="00D5606B"/>
    <w:rsid w:val="00E435AF"/>
    <w:rsid w:val="00E5557A"/>
    <w:rsid w:val="00E73406"/>
    <w:rsid w:val="00EA79FE"/>
    <w:rsid w:val="00EB4F59"/>
    <w:rsid w:val="00F0692E"/>
    <w:rsid w:val="00F16C12"/>
    <w:rsid w:val="00F2629B"/>
    <w:rsid w:val="00F2629D"/>
    <w:rsid w:val="00F501E9"/>
    <w:rsid w:val="00FB2E49"/>
    <w:rsid w:val="00FC009D"/>
    <w:rsid w:val="00FF798E"/>
    <w:rsid w:val="2369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5">
    <w:name w:val="header"/>
    <w:basedOn w:val="1"/>
    <w:link w:val="8"/>
    <w:unhideWhenUsed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9"/>
    <w:semiHidden/>
    <w:unhideWhenUsed/>
    <w:qFormat/>
    <w:uiPriority w:val="99"/>
    <w:pPr>
      <w:tabs>
        <w:tab w:val="center" w:pos="4677"/>
        <w:tab w:val="right" w:pos="9355"/>
      </w:tabs>
    </w:pPr>
  </w:style>
  <w:style w:type="table" w:styleId="7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Верхний колонтитул Знак"/>
    <w:basedOn w:val="2"/>
    <w:link w:val="5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9">
    <w:name w:val="Нижний колонтитул Знак"/>
    <w:basedOn w:val="2"/>
    <w:link w:val="6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0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paragraph" w:customStyle="1" w:styleId="12">
    <w:name w:val="ConsPlusNonformat"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748</Words>
  <Characters>4267</Characters>
  <Lines>35</Lines>
  <Paragraphs>10</Paragraphs>
  <TotalTime>5</TotalTime>
  <ScaleCrop>false</ScaleCrop>
  <LinksUpToDate>false</LinksUpToDate>
  <CharactersWithSpaces>5005</CharactersWithSpaces>
  <Application>WPS Office_11.2.0.11029_F1E327BC-269C-435d-A152-05C5408002CA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2021-03-09T10:15:00Z</dcterms:created>
  <dc:creator>User</dc:creator>
  <cp:lastModifiedBy>Зарубина ЕА</cp:lastModifiedBy>
  <cp:lastPrinted>2020-05-20T07:55:00Z</cp:lastPrinted>
  <dcterms:modified xsi:type="dcterms:W3CDTF">2022-03-24T10:48:15Z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1049-11.2.0.11029</vt:lpwstr>
  </property>
  <property fmtid="{D5CDD505-2E9C-101B-9397-08002B2CF9AE}" pid="3" name="ICV">
    <vt:lpwstr>BA2C74AAE163415A8E4B0BE02CC7C4E2</vt:lpwstr>
  </property>
</Properties>
</file>